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560" w:lineRule="exact"/>
        <w:ind w:right="640" w:firstLine="8640" w:firstLineChars="2700"/>
        <w:rPr>
          <w:rFonts w:ascii="仿宋" w:hAnsi="仿宋" w:eastAsia="仿宋"/>
          <w:sz w:val="32"/>
          <w:szCs w:val="32"/>
          <w:highlight w:val="none"/>
        </w:rPr>
      </w:pPr>
    </w:p>
    <w:p>
      <w:pPr>
        <w:widowControl/>
        <w:adjustRightInd w:val="0"/>
        <w:snapToGrid w:val="0"/>
        <w:spacing w:line="560" w:lineRule="exact"/>
        <w:ind w:right="640" w:firstLine="8640" w:firstLineChars="2700"/>
        <w:rPr>
          <w:rFonts w:ascii="仿宋" w:hAnsi="仿宋" w:eastAsia="仿宋"/>
          <w:sz w:val="32"/>
          <w:szCs w:val="32"/>
          <w:highlight w:val="none"/>
        </w:rPr>
      </w:pPr>
    </w:p>
    <w:p>
      <w:pPr>
        <w:widowControl/>
        <w:adjustRightInd w:val="0"/>
        <w:snapToGrid w:val="0"/>
        <w:spacing w:line="560" w:lineRule="exact"/>
        <w:ind w:right="640" w:firstLine="9720" w:firstLineChars="2700"/>
        <w:rPr>
          <w:rFonts w:ascii="仿宋" w:hAnsi="仿宋" w:eastAsia="仿宋"/>
          <w:sz w:val="36"/>
          <w:szCs w:val="36"/>
          <w:highlight w:val="none"/>
        </w:rPr>
      </w:pPr>
    </w:p>
    <w:p>
      <w:pPr>
        <w:widowControl/>
        <w:adjustRightInd w:val="0"/>
        <w:snapToGrid w:val="0"/>
        <w:spacing w:line="560" w:lineRule="exact"/>
        <w:ind w:right="640" w:firstLine="9720" w:firstLineChars="2700"/>
        <w:rPr>
          <w:rFonts w:ascii="仿宋" w:hAnsi="仿宋" w:eastAsia="仿宋"/>
          <w:sz w:val="28"/>
          <w:szCs w:val="28"/>
          <w:highlight w:val="none"/>
        </w:rPr>
      </w:pPr>
      <w:r>
        <w:rPr>
          <w:rFonts w:hint="eastAsia" w:ascii="仿宋" w:hAnsi="仿宋" w:eastAsia="仿宋"/>
          <w:sz w:val="36"/>
          <w:szCs w:val="36"/>
          <w:highlight w:val="none"/>
        </w:rPr>
        <w:t xml:space="preserve">              </w:t>
      </w:r>
      <w:r>
        <w:rPr>
          <w:rFonts w:hint="eastAsia" w:ascii="仿宋" w:hAnsi="仿宋" w:eastAsia="仿宋"/>
          <w:sz w:val="32"/>
          <w:szCs w:val="32"/>
          <w:highlight w:val="none"/>
        </w:rPr>
        <w:t xml:space="preserve">   </w:t>
      </w:r>
      <w:r>
        <w:rPr>
          <w:rFonts w:hint="eastAsia" w:ascii="仿宋" w:hAnsi="仿宋" w:eastAsia="仿宋"/>
          <w:sz w:val="28"/>
          <w:szCs w:val="28"/>
          <w:highlight w:val="none"/>
        </w:rPr>
        <w:t xml:space="preserve">  </w:t>
      </w:r>
      <w:r>
        <w:rPr>
          <w:rFonts w:ascii="仿宋" w:hAnsi="仿宋" w:eastAsia="仿宋"/>
          <w:sz w:val="28"/>
          <w:szCs w:val="28"/>
          <w:highlight w:val="none"/>
        </w:rPr>
        <w:t xml:space="preserve">     </w:t>
      </w:r>
      <w:r>
        <w:rPr>
          <w:rFonts w:hint="eastAsia" w:ascii="仿宋" w:hAnsi="仿宋" w:eastAsia="仿宋"/>
          <w:sz w:val="28"/>
          <w:szCs w:val="28"/>
          <w:highlight w:val="none"/>
        </w:rPr>
        <w:t xml:space="preserve"> </w:t>
      </w:r>
      <w:r>
        <w:rPr>
          <w:rFonts w:ascii="仿宋" w:hAnsi="仿宋" w:eastAsia="仿宋"/>
          <w:sz w:val="28"/>
          <w:szCs w:val="28"/>
          <w:highlight w:val="none"/>
        </w:rPr>
        <w:t xml:space="preserve"> </w:t>
      </w:r>
    </w:p>
    <w:p>
      <w:pPr>
        <w:widowControl/>
        <w:adjustRightInd w:val="0"/>
        <w:snapToGrid w:val="0"/>
        <w:spacing w:line="288" w:lineRule="auto"/>
        <w:ind w:firstLine="0" w:firstLineChars="0"/>
        <w:jc w:val="center"/>
        <w:rPr>
          <w:rFonts w:hint="eastAsia" w:ascii="黑体" w:hAnsi="黑体" w:eastAsia="黑体" w:cs="黑体"/>
          <w:b/>
          <w:sz w:val="58"/>
          <w:szCs w:val="58"/>
          <w:highlight w:val="none"/>
          <w:lang w:val="en-US" w:eastAsia="zh-CN"/>
        </w:rPr>
      </w:pPr>
      <w:r>
        <w:rPr>
          <w:rFonts w:hint="eastAsia" w:ascii="黑体" w:hAnsi="黑体" w:eastAsia="黑体" w:cs="黑体"/>
          <w:b/>
          <w:sz w:val="58"/>
          <w:szCs w:val="58"/>
          <w:highlight w:val="none"/>
        </w:rPr>
        <w:t>汕头职业技术学院</w:t>
      </w:r>
      <w:r>
        <w:rPr>
          <w:rFonts w:hint="eastAsia" w:ascii="黑体" w:hAnsi="黑体" w:eastAsia="黑体" w:cs="黑体"/>
          <w:b/>
          <w:sz w:val="58"/>
          <w:szCs w:val="58"/>
          <w:highlight w:val="none"/>
          <w:lang w:eastAsia="zh-CN"/>
        </w:rPr>
        <w:t>（</w:t>
      </w:r>
      <w:r>
        <w:rPr>
          <w:rFonts w:hint="eastAsia" w:ascii="黑体" w:hAnsi="黑体" w:eastAsia="黑体" w:cs="黑体"/>
          <w:b/>
          <w:sz w:val="58"/>
          <w:szCs w:val="58"/>
          <w:highlight w:val="none"/>
          <w:lang w:val="en-US" w:eastAsia="zh-CN"/>
        </w:rPr>
        <w:t>校本部</w:t>
      </w:r>
      <w:r>
        <w:rPr>
          <w:rFonts w:hint="eastAsia" w:ascii="黑体" w:hAnsi="黑体" w:eastAsia="黑体" w:cs="黑体"/>
          <w:b/>
          <w:sz w:val="58"/>
          <w:szCs w:val="58"/>
          <w:highlight w:val="none"/>
          <w:lang w:eastAsia="zh-CN"/>
        </w:rPr>
        <w:t>）</w:t>
      </w:r>
    </w:p>
    <w:p>
      <w:pPr>
        <w:widowControl/>
        <w:adjustRightInd w:val="0"/>
        <w:snapToGrid w:val="0"/>
        <w:spacing w:line="288" w:lineRule="auto"/>
        <w:ind w:firstLine="1165" w:firstLineChars="200"/>
        <w:jc w:val="both"/>
        <w:rPr>
          <w:rFonts w:hint="eastAsia" w:ascii="黑体" w:hAnsi="黑体" w:eastAsia="黑体" w:cs="黑体"/>
          <w:b/>
          <w:sz w:val="58"/>
          <w:szCs w:val="58"/>
          <w:highlight w:val="none"/>
        </w:rPr>
      </w:pPr>
      <w:r>
        <w:rPr>
          <w:rFonts w:hint="eastAsia" w:ascii="黑体" w:hAnsi="黑体" w:eastAsia="黑体" w:cs="黑体"/>
          <w:b/>
          <w:sz w:val="58"/>
          <w:szCs w:val="58"/>
          <w:highlight w:val="none"/>
          <w:lang w:val="en-US" w:eastAsia="zh-CN"/>
        </w:rPr>
        <w:t>安全管理中心建设</w:t>
      </w:r>
      <w:r>
        <w:rPr>
          <w:rFonts w:hint="eastAsia" w:ascii="黑体" w:hAnsi="黑体" w:eastAsia="黑体" w:cs="黑体"/>
          <w:b/>
          <w:sz w:val="58"/>
          <w:szCs w:val="58"/>
          <w:highlight w:val="none"/>
        </w:rPr>
        <w:t>项目</w:t>
      </w:r>
    </w:p>
    <w:p>
      <w:pPr>
        <w:widowControl/>
        <w:adjustRightInd w:val="0"/>
        <w:snapToGrid w:val="0"/>
        <w:spacing w:line="288" w:lineRule="auto"/>
        <w:ind w:firstLine="0" w:firstLineChars="0"/>
        <w:jc w:val="center"/>
        <w:rPr>
          <w:rFonts w:hint="eastAsia" w:ascii="黑体" w:hAnsi="黑体" w:eastAsia="黑体" w:cs="黑体"/>
          <w:b/>
          <w:sz w:val="58"/>
          <w:szCs w:val="58"/>
          <w:highlight w:val="none"/>
        </w:rPr>
      </w:pPr>
    </w:p>
    <w:p>
      <w:pPr>
        <w:widowControl/>
        <w:adjustRightInd w:val="0"/>
        <w:snapToGrid w:val="0"/>
        <w:spacing w:line="288" w:lineRule="auto"/>
        <w:ind w:left="0" w:leftChars="0" w:firstLine="0" w:firstLineChars="0"/>
        <w:jc w:val="center"/>
        <w:rPr>
          <w:rFonts w:hint="eastAsia" w:ascii="仿宋" w:hAnsi="仿宋" w:eastAsia="黑体" w:cs="宋体"/>
          <w:color w:val="333333"/>
          <w:kern w:val="0"/>
          <w:sz w:val="56"/>
          <w:szCs w:val="56"/>
          <w:highlight w:val="none"/>
          <w:lang w:val="en-US" w:eastAsia="zh-CN"/>
        </w:rPr>
      </w:pPr>
      <w:r>
        <w:rPr>
          <w:rFonts w:hint="eastAsia" w:ascii="黑体" w:hAnsi="黑体" w:eastAsia="黑体" w:cs="黑体"/>
          <w:b/>
          <w:sz w:val="56"/>
          <w:szCs w:val="56"/>
          <w:highlight w:val="none"/>
          <w:lang w:val="en-US" w:eastAsia="zh-CN"/>
        </w:rPr>
        <w:t>初步</w:t>
      </w:r>
      <w:r>
        <w:rPr>
          <w:rFonts w:hint="eastAsia" w:ascii="黑体" w:hAnsi="黑体" w:eastAsia="黑体" w:cs="黑体"/>
          <w:b/>
          <w:sz w:val="56"/>
          <w:szCs w:val="56"/>
          <w:highlight w:val="none"/>
        </w:rPr>
        <w:t>设计</w:t>
      </w:r>
      <w:r>
        <w:rPr>
          <w:rFonts w:hint="eastAsia" w:ascii="黑体" w:hAnsi="黑体" w:eastAsia="黑体" w:cs="黑体"/>
          <w:b/>
          <w:sz w:val="56"/>
          <w:szCs w:val="56"/>
          <w:highlight w:val="none"/>
          <w:lang w:val="en-US" w:eastAsia="zh-CN"/>
        </w:rPr>
        <w:t>方案</w:t>
      </w:r>
    </w:p>
    <w:p>
      <w:pPr>
        <w:widowControl/>
        <w:adjustRightInd w:val="0"/>
        <w:snapToGrid w:val="0"/>
        <w:spacing w:line="560" w:lineRule="exact"/>
        <w:ind w:firstLine="0" w:firstLineChars="0"/>
        <w:jc w:val="center"/>
        <w:rPr>
          <w:rFonts w:ascii="仿宋" w:hAnsi="仿宋" w:eastAsia="仿宋" w:cs="宋体"/>
          <w:color w:val="333333"/>
          <w:kern w:val="0"/>
          <w:sz w:val="32"/>
          <w:szCs w:val="32"/>
          <w:highlight w:val="none"/>
        </w:rPr>
      </w:pPr>
    </w:p>
    <w:p>
      <w:pPr>
        <w:widowControl/>
        <w:adjustRightInd w:val="0"/>
        <w:snapToGrid w:val="0"/>
        <w:spacing w:line="560" w:lineRule="exact"/>
        <w:ind w:firstLine="0" w:firstLineChars="0"/>
        <w:jc w:val="center"/>
        <w:rPr>
          <w:rFonts w:ascii="仿宋" w:hAnsi="仿宋" w:eastAsia="仿宋" w:cs="宋体"/>
          <w:color w:val="333333"/>
          <w:kern w:val="0"/>
          <w:sz w:val="32"/>
          <w:szCs w:val="32"/>
          <w:highlight w:val="none"/>
        </w:rPr>
      </w:pPr>
    </w:p>
    <w:p>
      <w:pPr>
        <w:widowControl/>
        <w:adjustRightInd w:val="0"/>
        <w:snapToGrid w:val="0"/>
        <w:spacing w:line="560" w:lineRule="exact"/>
        <w:ind w:firstLine="0" w:firstLineChars="0"/>
        <w:jc w:val="center"/>
        <w:rPr>
          <w:rFonts w:ascii="仿宋" w:hAnsi="仿宋" w:eastAsia="仿宋" w:cs="宋体"/>
          <w:color w:val="333333"/>
          <w:kern w:val="0"/>
          <w:sz w:val="32"/>
          <w:szCs w:val="32"/>
          <w:highlight w:val="none"/>
        </w:rPr>
      </w:pPr>
    </w:p>
    <w:p>
      <w:pPr>
        <w:widowControl/>
        <w:adjustRightInd w:val="0"/>
        <w:snapToGrid w:val="0"/>
        <w:spacing w:line="560" w:lineRule="exact"/>
        <w:ind w:firstLine="0" w:firstLineChars="0"/>
        <w:rPr>
          <w:rFonts w:ascii="仿宋" w:hAnsi="仿宋" w:eastAsia="仿宋" w:cs="宋体"/>
          <w:color w:val="333333"/>
          <w:kern w:val="0"/>
          <w:sz w:val="32"/>
          <w:szCs w:val="32"/>
          <w:highlight w:val="none"/>
        </w:rPr>
      </w:pPr>
    </w:p>
    <w:p>
      <w:pPr>
        <w:widowControl/>
        <w:adjustRightInd w:val="0"/>
        <w:snapToGrid w:val="0"/>
        <w:spacing w:line="560" w:lineRule="exact"/>
        <w:ind w:firstLine="0" w:firstLineChars="0"/>
        <w:jc w:val="center"/>
        <w:rPr>
          <w:rFonts w:ascii="仿宋" w:hAnsi="仿宋" w:eastAsia="仿宋" w:cs="宋体"/>
          <w:color w:val="333333"/>
          <w:kern w:val="0"/>
          <w:sz w:val="32"/>
          <w:szCs w:val="32"/>
          <w:highlight w:val="none"/>
        </w:rPr>
      </w:pPr>
    </w:p>
    <w:p>
      <w:pPr>
        <w:widowControl/>
        <w:adjustRightInd w:val="0"/>
        <w:snapToGrid w:val="0"/>
        <w:spacing w:line="560" w:lineRule="exact"/>
        <w:ind w:firstLine="0" w:firstLineChars="0"/>
        <w:jc w:val="center"/>
        <w:rPr>
          <w:rFonts w:ascii="仿宋" w:hAnsi="仿宋" w:eastAsia="仿宋" w:cs="宋体"/>
          <w:color w:val="333333"/>
          <w:kern w:val="0"/>
          <w:sz w:val="32"/>
          <w:szCs w:val="32"/>
          <w:highlight w:val="none"/>
        </w:rPr>
      </w:pPr>
    </w:p>
    <w:p>
      <w:pPr>
        <w:widowControl/>
        <w:adjustRightInd w:val="0"/>
        <w:snapToGrid w:val="0"/>
        <w:spacing w:line="560" w:lineRule="exact"/>
        <w:ind w:firstLine="0" w:firstLineChars="0"/>
        <w:jc w:val="center"/>
        <w:rPr>
          <w:rFonts w:ascii="仿宋" w:hAnsi="仿宋" w:eastAsia="仿宋" w:cs="宋体"/>
          <w:color w:val="333333"/>
          <w:kern w:val="0"/>
          <w:sz w:val="32"/>
          <w:szCs w:val="32"/>
          <w:highlight w:val="none"/>
        </w:rPr>
      </w:pPr>
    </w:p>
    <w:p>
      <w:pPr>
        <w:widowControl/>
        <w:adjustRightInd w:val="0"/>
        <w:snapToGrid w:val="0"/>
        <w:spacing w:line="560" w:lineRule="exact"/>
        <w:ind w:firstLine="0" w:firstLineChars="0"/>
        <w:jc w:val="center"/>
        <w:rPr>
          <w:rFonts w:ascii="仿宋" w:hAnsi="仿宋" w:eastAsia="仿宋" w:cs="宋体"/>
          <w:color w:val="333333"/>
          <w:kern w:val="0"/>
          <w:sz w:val="32"/>
          <w:szCs w:val="32"/>
          <w:highlight w:val="none"/>
        </w:rPr>
      </w:pPr>
    </w:p>
    <w:p>
      <w:pPr>
        <w:widowControl/>
        <w:adjustRightInd w:val="0"/>
        <w:snapToGrid w:val="0"/>
        <w:spacing w:line="560" w:lineRule="exact"/>
        <w:ind w:firstLine="0" w:firstLineChars="0"/>
        <w:jc w:val="both"/>
        <w:rPr>
          <w:rFonts w:ascii="仿宋" w:hAnsi="仿宋" w:eastAsia="仿宋" w:cs="宋体"/>
          <w:color w:val="333333"/>
          <w:kern w:val="0"/>
          <w:sz w:val="32"/>
          <w:szCs w:val="32"/>
          <w:highlight w:val="none"/>
        </w:rPr>
      </w:pPr>
    </w:p>
    <w:p>
      <w:pPr>
        <w:widowControl/>
        <w:adjustRightInd w:val="0"/>
        <w:snapToGrid w:val="0"/>
        <w:spacing w:line="560" w:lineRule="exact"/>
        <w:ind w:firstLine="0" w:firstLineChars="0"/>
        <w:jc w:val="both"/>
        <w:rPr>
          <w:rFonts w:ascii="仿宋" w:hAnsi="仿宋" w:eastAsia="仿宋" w:cs="宋体"/>
          <w:color w:val="333333"/>
          <w:kern w:val="0"/>
          <w:sz w:val="32"/>
          <w:szCs w:val="32"/>
          <w:highlight w:val="none"/>
        </w:rPr>
      </w:pPr>
    </w:p>
    <w:p>
      <w:pPr>
        <w:ind w:firstLine="0" w:firstLineChars="0"/>
        <w:rPr>
          <w:highlight w:val="none"/>
        </w:rPr>
      </w:pPr>
    </w:p>
    <w:p>
      <w:pPr>
        <w:spacing w:before="163" w:beforeLines="50"/>
        <w:ind w:firstLine="0" w:firstLineChars="0"/>
        <w:jc w:val="center"/>
        <w:rPr>
          <w:rFonts w:hint="eastAsia"/>
          <w:b/>
          <w:sz w:val="40"/>
          <w:highlight w:val="none"/>
        </w:rPr>
      </w:pPr>
      <w:r>
        <w:rPr>
          <w:rFonts w:hint="eastAsia"/>
          <w:b/>
          <w:sz w:val="40"/>
          <w:highlight w:val="none"/>
          <w:lang w:val="zh-CN"/>
        </w:rPr>
        <w:t>广东省电信规划设计院有限公司</w:t>
      </w:r>
    </w:p>
    <w:p>
      <w:pPr>
        <w:spacing w:before="163" w:beforeLines="50"/>
        <w:ind w:firstLine="2811" w:firstLineChars="700"/>
        <w:jc w:val="both"/>
        <w:rPr>
          <w:b/>
          <w:sz w:val="40"/>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992" w:gutter="0"/>
          <w:cols w:space="0" w:num="1"/>
          <w:titlePg/>
          <w:docGrid w:type="lines" w:linePitch="326" w:charSpace="0"/>
        </w:sectPr>
      </w:pPr>
      <w:r>
        <w:rPr>
          <w:rFonts w:hint="eastAsia"/>
          <w:b/>
          <w:sz w:val="40"/>
          <w:highlight w:val="none"/>
        </w:rPr>
        <w:t>202</w:t>
      </w:r>
      <w:r>
        <w:rPr>
          <w:rFonts w:hint="eastAsia"/>
          <w:b/>
          <w:sz w:val="40"/>
          <w:highlight w:val="none"/>
          <w:lang w:val="en-US" w:eastAsia="zh-CN"/>
        </w:rPr>
        <w:t>3</w:t>
      </w:r>
      <w:r>
        <w:rPr>
          <w:rFonts w:hint="eastAsia"/>
          <w:b/>
          <w:sz w:val="40"/>
          <w:highlight w:val="none"/>
        </w:rPr>
        <w:t>年</w:t>
      </w:r>
      <w:r>
        <w:rPr>
          <w:rFonts w:hint="eastAsia"/>
          <w:b/>
          <w:sz w:val="40"/>
          <w:highlight w:val="none"/>
          <w:lang w:val="en-US" w:eastAsia="zh-CN"/>
        </w:rPr>
        <w:t>11</w:t>
      </w:r>
      <w:r>
        <w:rPr>
          <w:rFonts w:hint="eastAsia"/>
          <w:b/>
          <w:sz w:val="40"/>
          <w:highlight w:val="none"/>
        </w:rPr>
        <w:t>月</w:t>
      </w:r>
    </w:p>
    <w:sdt>
      <w:sdtPr>
        <w:rPr>
          <w:rFonts w:ascii="Times New Roman" w:hAnsi="Times New Roman" w:eastAsia="宋体" w:cstheme="minorBidi"/>
          <w:color w:val="auto"/>
          <w:kern w:val="2"/>
          <w:sz w:val="24"/>
          <w:szCs w:val="22"/>
          <w:highlight w:val="none"/>
          <w:lang w:val="zh-CN"/>
        </w:rPr>
        <w:id w:val="-1639482453"/>
        <w:docPartObj>
          <w:docPartGallery w:val="Table of Contents"/>
          <w:docPartUnique/>
        </w:docPartObj>
      </w:sdtPr>
      <w:sdtEndPr>
        <w:rPr>
          <w:rFonts w:ascii="Times New Roman" w:hAnsi="Times New Roman" w:eastAsia="宋体" w:cstheme="minorBidi"/>
          <w:b/>
          <w:bCs/>
          <w:color w:val="auto"/>
          <w:kern w:val="2"/>
          <w:sz w:val="24"/>
          <w:szCs w:val="22"/>
          <w:highlight w:val="none"/>
          <w:lang w:val="zh-CN"/>
        </w:rPr>
      </w:sdtEndPr>
      <w:sdtContent>
        <w:p>
          <w:pPr>
            <w:pStyle w:val="48"/>
            <w:ind w:firstLine="480"/>
            <w:jc w:val="center"/>
            <w:rPr>
              <w:highlight w:val="none"/>
            </w:rPr>
          </w:pPr>
          <w:r>
            <w:rPr>
              <w:highlight w:val="none"/>
              <w:lang w:val="zh-CN"/>
            </w:rPr>
            <w:t>目录</w:t>
          </w:r>
        </w:p>
        <w:p>
          <w:pPr>
            <w:pStyle w:val="22"/>
            <w:tabs>
              <w:tab w:val="right" w:leader="dot" w:pos="8312"/>
            </w:tabs>
          </w:pPr>
          <w:r>
            <w:rPr>
              <w:b/>
              <w:bCs/>
              <w:highlight w:val="none"/>
              <w:lang w:val="zh-CN"/>
            </w:rPr>
            <w:fldChar w:fldCharType="begin"/>
          </w:r>
          <w:r>
            <w:rPr>
              <w:b/>
              <w:bCs/>
              <w:highlight w:val="none"/>
              <w:lang w:val="zh-CN"/>
            </w:rPr>
            <w:instrText xml:space="preserve"> TOC \o "1-3" \h \z \u </w:instrText>
          </w:r>
          <w:r>
            <w:rPr>
              <w:b/>
              <w:bCs/>
              <w:highlight w:val="none"/>
              <w:lang w:val="zh-CN"/>
            </w:rPr>
            <w:fldChar w:fldCharType="separate"/>
          </w:r>
          <w:r>
            <w:rPr>
              <w:bCs/>
              <w:highlight w:val="none"/>
              <w:lang w:val="zh-CN"/>
            </w:rPr>
            <w:fldChar w:fldCharType="begin"/>
          </w:r>
          <w:r>
            <w:rPr>
              <w:bCs/>
              <w:highlight w:val="none"/>
              <w:lang w:val="zh-CN"/>
            </w:rPr>
            <w:instrText xml:space="preserve"> HYPERLINK \l _Toc26048 </w:instrText>
          </w:r>
          <w:r>
            <w:rPr>
              <w:bCs/>
              <w:highlight w:val="none"/>
              <w:lang w:val="zh-CN"/>
            </w:rPr>
            <w:fldChar w:fldCharType="separate"/>
          </w:r>
          <w:r>
            <w:rPr>
              <w:rFonts w:hint="eastAsia" w:eastAsia="宋体"/>
              <w:i w:val="0"/>
              <w:szCs w:val="44"/>
            </w:rPr>
            <w:t xml:space="preserve">第1章. </w:t>
          </w:r>
          <w:r>
            <w:rPr>
              <w:rFonts w:hint="eastAsia"/>
              <w:highlight w:val="none"/>
            </w:rPr>
            <w:t>项目概述</w:t>
          </w:r>
          <w:r>
            <w:tab/>
          </w:r>
          <w:r>
            <w:fldChar w:fldCharType="begin"/>
          </w:r>
          <w:r>
            <w:instrText xml:space="preserve"> PAGEREF _Toc26048 \h </w:instrText>
          </w:r>
          <w:r>
            <w:fldChar w:fldCharType="separate"/>
          </w:r>
          <w:r>
            <w:t>5</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_Toc1942 </w:instrText>
          </w:r>
          <w:r>
            <w:rPr>
              <w:bCs/>
              <w:highlight w:val="none"/>
              <w:lang w:val="zh-CN"/>
            </w:rPr>
            <w:fldChar w:fldCharType="separate"/>
          </w:r>
          <w:r>
            <w:rPr>
              <w:rFonts w:hint="eastAsia" w:ascii="宋体" w:hAnsi="宋体" w:eastAsia="宋体"/>
              <w:i w:val="0"/>
              <w:szCs w:val="32"/>
            </w:rPr>
            <w:t xml:space="preserve">1.1. </w:t>
          </w:r>
          <w:r>
            <w:rPr>
              <w:rFonts w:hint="eastAsia"/>
              <w:highlight w:val="none"/>
            </w:rPr>
            <w:t>项目名称</w:t>
          </w:r>
          <w:r>
            <w:tab/>
          </w:r>
          <w:r>
            <w:fldChar w:fldCharType="begin"/>
          </w:r>
          <w:r>
            <w:instrText xml:space="preserve"> PAGEREF _Toc1942 \h </w:instrText>
          </w:r>
          <w:r>
            <w:fldChar w:fldCharType="separate"/>
          </w:r>
          <w:r>
            <w:t>5</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_Toc19040 </w:instrText>
          </w:r>
          <w:r>
            <w:rPr>
              <w:bCs/>
              <w:highlight w:val="none"/>
              <w:lang w:val="zh-CN"/>
            </w:rPr>
            <w:fldChar w:fldCharType="separate"/>
          </w:r>
          <w:r>
            <w:rPr>
              <w:rFonts w:hint="eastAsia" w:ascii="宋体" w:hAnsi="宋体" w:eastAsia="宋体"/>
              <w:i w:val="0"/>
              <w:szCs w:val="32"/>
            </w:rPr>
            <w:t xml:space="preserve">1.2. </w:t>
          </w:r>
          <w:r>
            <w:rPr>
              <w:rFonts w:hint="eastAsia"/>
              <w:highlight w:val="none"/>
            </w:rPr>
            <w:t>建设单位</w:t>
          </w:r>
          <w:r>
            <w:tab/>
          </w:r>
          <w:r>
            <w:fldChar w:fldCharType="begin"/>
          </w:r>
          <w:r>
            <w:instrText xml:space="preserve"> PAGEREF _Toc19040 \h </w:instrText>
          </w:r>
          <w:r>
            <w:fldChar w:fldCharType="separate"/>
          </w:r>
          <w:r>
            <w:t>5</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_Toc16595 </w:instrText>
          </w:r>
          <w:r>
            <w:rPr>
              <w:bCs/>
              <w:highlight w:val="none"/>
              <w:lang w:val="zh-CN"/>
            </w:rPr>
            <w:fldChar w:fldCharType="separate"/>
          </w:r>
          <w:r>
            <w:rPr>
              <w:rFonts w:hint="eastAsia" w:ascii="宋体" w:hAnsi="宋体" w:eastAsia="宋体"/>
              <w:i w:val="0"/>
              <w:szCs w:val="32"/>
            </w:rPr>
            <w:t xml:space="preserve">1.3. </w:t>
          </w:r>
          <w:r>
            <w:rPr>
              <w:rFonts w:hint="eastAsia"/>
              <w:highlight w:val="none"/>
            </w:rPr>
            <w:t>项目情况</w:t>
          </w:r>
          <w:r>
            <w:tab/>
          </w:r>
          <w:r>
            <w:fldChar w:fldCharType="begin"/>
          </w:r>
          <w:r>
            <w:instrText xml:space="preserve"> PAGEREF _Toc16595 \h </w:instrText>
          </w:r>
          <w:r>
            <w:fldChar w:fldCharType="separate"/>
          </w:r>
          <w:r>
            <w:t>5</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_Toc14838 </w:instrText>
          </w:r>
          <w:r>
            <w:rPr>
              <w:bCs/>
              <w:highlight w:val="none"/>
              <w:lang w:val="zh-CN"/>
            </w:rPr>
            <w:fldChar w:fldCharType="separate"/>
          </w:r>
          <w:r>
            <w:rPr>
              <w:rFonts w:hint="eastAsia" w:ascii="宋体" w:hAnsi="宋体" w:eastAsia="宋体"/>
              <w:i w:val="0"/>
              <w:szCs w:val="30"/>
            </w:rPr>
            <w:t xml:space="preserve">1.3.1. </w:t>
          </w:r>
          <w:r>
            <w:rPr>
              <w:rFonts w:hint="eastAsia"/>
              <w:highlight w:val="none"/>
            </w:rPr>
            <w:t>项目</w:t>
          </w:r>
          <w:r>
            <w:rPr>
              <w:highlight w:val="none"/>
            </w:rPr>
            <w:t>背景</w:t>
          </w:r>
          <w:r>
            <w:tab/>
          </w:r>
          <w:r>
            <w:fldChar w:fldCharType="begin"/>
          </w:r>
          <w:r>
            <w:instrText xml:space="preserve"> PAGEREF _Toc14838 \h </w:instrText>
          </w:r>
          <w:r>
            <w:fldChar w:fldCharType="separate"/>
          </w:r>
          <w:r>
            <w:t>5</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_Toc11851 </w:instrText>
          </w:r>
          <w:r>
            <w:rPr>
              <w:bCs/>
              <w:highlight w:val="none"/>
              <w:lang w:val="zh-CN"/>
            </w:rPr>
            <w:fldChar w:fldCharType="separate"/>
          </w:r>
          <w:r>
            <w:rPr>
              <w:rFonts w:hint="eastAsia" w:ascii="宋体" w:hAnsi="宋体" w:eastAsia="宋体"/>
              <w:i w:val="0"/>
              <w:szCs w:val="30"/>
            </w:rPr>
            <w:t xml:space="preserve">1.3.2. </w:t>
          </w:r>
          <w:r>
            <w:rPr>
              <w:highlight w:val="none"/>
            </w:rPr>
            <w:t>设计范围</w:t>
          </w:r>
          <w:r>
            <w:tab/>
          </w:r>
          <w:r>
            <w:fldChar w:fldCharType="begin"/>
          </w:r>
          <w:r>
            <w:instrText xml:space="preserve"> PAGEREF _Toc11851 \h </w:instrText>
          </w:r>
          <w:r>
            <w:fldChar w:fldCharType="separate"/>
          </w:r>
          <w:r>
            <w:t>7</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_Toc4739 </w:instrText>
          </w:r>
          <w:r>
            <w:rPr>
              <w:bCs/>
              <w:highlight w:val="none"/>
              <w:lang w:val="zh-CN"/>
            </w:rPr>
            <w:fldChar w:fldCharType="separate"/>
          </w:r>
          <w:r>
            <w:rPr>
              <w:rFonts w:hint="eastAsia" w:ascii="宋体" w:hAnsi="宋体" w:eastAsia="宋体"/>
              <w:i w:val="0"/>
              <w:szCs w:val="32"/>
            </w:rPr>
            <w:t xml:space="preserve">1.4. </w:t>
          </w:r>
          <w:r>
            <w:rPr>
              <w:rFonts w:hint="eastAsia"/>
              <w:highlight w:val="none"/>
            </w:rPr>
            <w:t>设计依据</w:t>
          </w:r>
          <w:r>
            <w:tab/>
          </w:r>
          <w:r>
            <w:fldChar w:fldCharType="begin"/>
          </w:r>
          <w:r>
            <w:instrText xml:space="preserve"> PAGEREF _Toc4739 \h </w:instrText>
          </w:r>
          <w:r>
            <w:fldChar w:fldCharType="separate"/>
          </w:r>
          <w:r>
            <w:t>7</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_Toc16610 </w:instrText>
          </w:r>
          <w:r>
            <w:rPr>
              <w:bCs/>
              <w:highlight w:val="none"/>
              <w:lang w:val="zh-CN"/>
            </w:rPr>
            <w:fldChar w:fldCharType="separate"/>
          </w:r>
          <w:r>
            <w:rPr>
              <w:rFonts w:hint="eastAsia" w:ascii="宋体" w:hAnsi="宋体" w:eastAsia="宋体"/>
              <w:i w:val="0"/>
              <w:szCs w:val="32"/>
            </w:rPr>
            <w:t xml:space="preserve">1.5. </w:t>
          </w:r>
          <w:r>
            <w:rPr>
              <w:rFonts w:hint="eastAsia"/>
              <w:highlight w:val="none"/>
            </w:rPr>
            <w:t>设计原则</w:t>
          </w:r>
          <w:r>
            <w:tab/>
          </w:r>
          <w:r>
            <w:fldChar w:fldCharType="begin"/>
          </w:r>
          <w:r>
            <w:instrText xml:space="preserve"> PAGEREF _Toc16610 \h </w:instrText>
          </w:r>
          <w:r>
            <w:fldChar w:fldCharType="separate"/>
          </w:r>
          <w:r>
            <w:t>8</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_Toc19738 </w:instrText>
          </w:r>
          <w:r>
            <w:rPr>
              <w:bCs/>
              <w:highlight w:val="none"/>
              <w:lang w:val="zh-CN"/>
            </w:rPr>
            <w:fldChar w:fldCharType="separate"/>
          </w:r>
          <w:r>
            <w:rPr>
              <w:rFonts w:hint="eastAsia" w:ascii="宋体" w:hAnsi="宋体" w:eastAsia="宋体"/>
              <w:i w:val="0"/>
              <w:szCs w:val="32"/>
            </w:rPr>
            <w:t xml:space="preserve">1.6. </w:t>
          </w:r>
          <w:r>
            <w:rPr>
              <w:highlight w:val="none"/>
            </w:rPr>
            <w:t>建设的必要性</w:t>
          </w:r>
          <w:r>
            <w:tab/>
          </w:r>
          <w:r>
            <w:fldChar w:fldCharType="begin"/>
          </w:r>
          <w:r>
            <w:instrText xml:space="preserve"> PAGEREF _Toc19738 \h </w:instrText>
          </w:r>
          <w:r>
            <w:fldChar w:fldCharType="separate"/>
          </w:r>
          <w:r>
            <w:t>9</w:t>
          </w:r>
          <w:r>
            <w:fldChar w:fldCharType="end"/>
          </w:r>
          <w:r>
            <w:rPr>
              <w:bCs/>
              <w:highlight w:val="none"/>
              <w:lang w:val="zh-CN"/>
            </w:rPr>
            <w:fldChar w:fldCharType="end"/>
          </w:r>
        </w:p>
        <w:p>
          <w:pPr>
            <w:pStyle w:val="22"/>
            <w:tabs>
              <w:tab w:val="right" w:leader="dot" w:pos="8312"/>
            </w:tabs>
          </w:pPr>
          <w:r>
            <w:rPr>
              <w:bCs/>
              <w:highlight w:val="none"/>
              <w:lang w:val="zh-CN"/>
            </w:rPr>
            <w:fldChar w:fldCharType="begin"/>
          </w:r>
          <w:r>
            <w:rPr>
              <w:bCs/>
              <w:highlight w:val="none"/>
              <w:lang w:val="zh-CN"/>
            </w:rPr>
            <w:instrText xml:space="preserve"> HYPERLINK \l _Toc12305 </w:instrText>
          </w:r>
          <w:r>
            <w:rPr>
              <w:bCs/>
              <w:highlight w:val="none"/>
              <w:lang w:val="zh-CN"/>
            </w:rPr>
            <w:fldChar w:fldCharType="separate"/>
          </w:r>
          <w:r>
            <w:rPr>
              <w:rFonts w:hint="eastAsia" w:eastAsia="宋体"/>
              <w:i w:val="0"/>
              <w:szCs w:val="44"/>
            </w:rPr>
            <w:t xml:space="preserve">第2章. </w:t>
          </w:r>
          <w:r>
            <w:rPr>
              <w:rFonts w:hint="eastAsia"/>
              <w:highlight w:val="none"/>
            </w:rPr>
            <w:t>现状与需求分析</w:t>
          </w:r>
          <w:r>
            <w:tab/>
          </w:r>
          <w:r>
            <w:fldChar w:fldCharType="begin"/>
          </w:r>
          <w:r>
            <w:instrText xml:space="preserve"> PAGEREF _Toc12305 \h </w:instrText>
          </w:r>
          <w:r>
            <w:fldChar w:fldCharType="separate"/>
          </w:r>
          <w:r>
            <w:t>10</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_Toc11143 </w:instrText>
          </w:r>
          <w:r>
            <w:rPr>
              <w:bCs/>
              <w:highlight w:val="none"/>
              <w:lang w:val="zh-CN"/>
            </w:rPr>
            <w:fldChar w:fldCharType="separate"/>
          </w:r>
          <w:r>
            <w:rPr>
              <w:rFonts w:hint="eastAsia" w:ascii="宋体" w:hAnsi="宋体" w:eastAsia="宋体"/>
              <w:i w:val="0"/>
              <w:szCs w:val="32"/>
            </w:rPr>
            <w:t xml:space="preserve">2.1. </w:t>
          </w:r>
          <w:r>
            <w:rPr>
              <w:highlight w:val="none"/>
            </w:rPr>
            <w:t>现状分析</w:t>
          </w:r>
          <w:r>
            <w:tab/>
          </w:r>
          <w:r>
            <w:fldChar w:fldCharType="begin"/>
          </w:r>
          <w:r>
            <w:instrText xml:space="preserve"> PAGEREF _Toc11143 \h </w:instrText>
          </w:r>
          <w:r>
            <w:fldChar w:fldCharType="separate"/>
          </w:r>
          <w:r>
            <w:t>10</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_Toc27396 </w:instrText>
          </w:r>
          <w:r>
            <w:rPr>
              <w:bCs/>
              <w:highlight w:val="none"/>
              <w:lang w:val="zh-CN"/>
            </w:rPr>
            <w:fldChar w:fldCharType="separate"/>
          </w:r>
          <w:r>
            <w:rPr>
              <w:rFonts w:hint="eastAsia" w:ascii="宋体" w:hAnsi="宋体" w:eastAsia="宋体"/>
              <w:i w:val="0"/>
              <w:szCs w:val="30"/>
            </w:rPr>
            <w:t xml:space="preserve">2.1.1. </w:t>
          </w:r>
          <w:r>
            <w:rPr>
              <w:rFonts w:hint="eastAsia"/>
              <w:highlight w:val="none"/>
              <w:lang w:val="en-US" w:eastAsia="zh-CN"/>
            </w:rPr>
            <w:t>监控中心现状</w:t>
          </w:r>
          <w:r>
            <w:tab/>
          </w:r>
          <w:r>
            <w:fldChar w:fldCharType="begin"/>
          </w:r>
          <w:r>
            <w:instrText xml:space="preserve"> PAGEREF _Toc27396 \h </w:instrText>
          </w:r>
          <w:r>
            <w:fldChar w:fldCharType="separate"/>
          </w:r>
          <w:r>
            <w:t>10</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_Toc31263 </w:instrText>
          </w:r>
          <w:r>
            <w:rPr>
              <w:bCs/>
              <w:highlight w:val="none"/>
              <w:lang w:val="zh-CN"/>
            </w:rPr>
            <w:fldChar w:fldCharType="separate"/>
          </w:r>
          <w:r>
            <w:rPr>
              <w:rFonts w:hint="eastAsia" w:ascii="宋体" w:hAnsi="宋体" w:eastAsia="宋体"/>
              <w:i w:val="0"/>
              <w:szCs w:val="30"/>
              <w:lang w:val="en-US" w:eastAsia="zh-CN"/>
            </w:rPr>
            <w:t xml:space="preserve">2.1.2. </w:t>
          </w:r>
          <w:r>
            <w:rPr>
              <w:rFonts w:hint="eastAsia"/>
              <w:highlight w:val="none"/>
              <w:lang w:val="en-US" w:eastAsia="zh-CN"/>
            </w:rPr>
            <w:t>视频专网现状</w:t>
          </w:r>
          <w:r>
            <w:tab/>
          </w:r>
          <w:r>
            <w:fldChar w:fldCharType="begin"/>
          </w:r>
          <w:r>
            <w:instrText xml:space="preserve"> PAGEREF _Toc31263 \h </w:instrText>
          </w:r>
          <w:r>
            <w:fldChar w:fldCharType="separate"/>
          </w:r>
          <w:r>
            <w:t>11</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_Toc31365 </w:instrText>
          </w:r>
          <w:r>
            <w:rPr>
              <w:bCs/>
              <w:highlight w:val="none"/>
              <w:lang w:val="zh-CN"/>
            </w:rPr>
            <w:fldChar w:fldCharType="separate"/>
          </w:r>
          <w:r>
            <w:rPr>
              <w:rFonts w:hint="eastAsia" w:ascii="宋体" w:hAnsi="宋体" w:eastAsia="宋体"/>
              <w:i w:val="0"/>
              <w:szCs w:val="30"/>
              <w:lang w:val="en-US" w:eastAsia="zh-CN"/>
            </w:rPr>
            <w:t xml:space="preserve">2.1.3. </w:t>
          </w:r>
          <w:r>
            <w:rPr>
              <w:rFonts w:hint="eastAsia"/>
              <w:highlight w:val="none"/>
              <w:lang w:val="en-US" w:eastAsia="zh-CN"/>
            </w:rPr>
            <w:t>视频监控系统现状</w:t>
          </w:r>
          <w:r>
            <w:tab/>
          </w:r>
          <w:r>
            <w:fldChar w:fldCharType="begin"/>
          </w:r>
          <w:r>
            <w:instrText xml:space="preserve"> PAGEREF _Toc31365 \h </w:instrText>
          </w:r>
          <w:r>
            <w:fldChar w:fldCharType="separate"/>
          </w:r>
          <w:r>
            <w:t>14</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_Toc27870 </w:instrText>
          </w:r>
          <w:r>
            <w:rPr>
              <w:bCs/>
              <w:highlight w:val="none"/>
              <w:lang w:val="zh-CN"/>
            </w:rPr>
            <w:fldChar w:fldCharType="separate"/>
          </w:r>
          <w:r>
            <w:rPr>
              <w:rFonts w:hint="eastAsia" w:ascii="宋体" w:hAnsi="宋体" w:eastAsia="宋体"/>
              <w:i w:val="0"/>
              <w:szCs w:val="30"/>
              <w:lang w:val="en-US" w:eastAsia="zh-CN"/>
            </w:rPr>
            <w:t xml:space="preserve">2.1.4. </w:t>
          </w:r>
          <w:r>
            <w:rPr>
              <w:rFonts w:hint="eastAsia"/>
              <w:highlight w:val="none"/>
              <w:lang w:val="en-US" w:eastAsia="zh-CN"/>
            </w:rPr>
            <w:t>七号学生宿舍楼一层杂物间现状</w:t>
          </w:r>
          <w:r>
            <w:tab/>
          </w:r>
          <w:r>
            <w:fldChar w:fldCharType="begin"/>
          </w:r>
          <w:r>
            <w:instrText xml:space="preserve"> PAGEREF _Toc27870 \h </w:instrText>
          </w:r>
          <w:r>
            <w:fldChar w:fldCharType="separate"/>
          </w:r>
          <w:r>
            <w:t>20</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_Toc1317 </w:instrText>
          </w:r>
          <w:r>
            <w:rPr>
              <w:bCs/>
              <w:highlight w:val="none"/>
              <w:lang w:val="zh-CN"/>
            </w:rPr>
            <w:fldChar w:fldCharType="separate"/>
          </w:r>
          <w:r>
            <w:rPr>
              <w:rFonts w:hint="eastAsia" w:ascii="宋体" w:hAnsi="宋体" w:eastAsia="宋体"/>
              <w:i w:val="0"/>
              <w:szCs w:val="32"/>
            </w:rPr>
            <w:t xml:space="preserve">2.2. </w:t>
          </w:r>
          <w:r>
            <w:rPr>
              <w:highlight w:val="none"/>
            </w:rPr>
            <w:t>需求分析</w:t>
          </w:r>
          <w:r>
            <w:tab/>
          </w:r>
          <w:r>
            <w:fldChar w:fldCharType="begin"/>
          </w:r>
          <w:r>
            <w:instrText xml:space="preserve"> PAGEREF _Toc1317 \h </w:instrText>
          </w:r>
          <w:r>
            <w:fldChar w:fldCharType="separate"/>
          </w:r>
          <w:r>
            <w:t>22</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_Toc20616 </w:instrText>
          </w:r>
          <w:r>
            <w:rPr>
              <w:bCs/>
              <w:highlight w:val="none"/>
              <w:lang w:val="zh-CN"/>
            </w:rPr>
            <w:fldChar w:fldCharType="separate"/>
          </w:r>
          <w:r>
            <w:rPr>
              <w:rFonts w:hint="eastAsia" w:ascii="宋体" w:hAnsi="宋体" w:eastAsia="宋体"/>
              <w:i w:val="0"/>
              <w:szCs w:val="30"/>
            </w:rPr>
            <w:t xml:space="preserve">2.2.1. </w:t>
          </w:r>
          <w:r>
            <w:rPr>
              <w:rFonts w:hint="eastAsia"/>
              <w:highlight w:val="none"/>
              <w:lang w:val="en-US" w:eastAsia="zh-CN"/>
            </w:rPr>
            <w:t>政策</w:t>
          </w:r>
          <w:r>
            <w:rPr>
              <w:rFonts w:hint="eastAsia"/>
              <w:highlight w:val="none"/>
            </w:rPr>
            <w:t>需求</w:t>
          </w:r>
          <w:r>
            <w:rPr>
              <w:highlight w:val="none"/>
            </w:rPr>
            <w:t>分析</w:t>
          </w:r>
          <w:r>
            <w:tab/>
          </w:r>
          <w:r>
            <w:fldChar w:fldCharType="begin"/>
          </w:r>
          <w:r>
            <w:instrText xml:space="preserve"> PAGEREF _Toc20616 \h </w:instrText>
          </w:r>
          <w:r>
            <w:fldChar w:fldCharType="separate"/>
          </w:r>
          <w:r>
            <w:t>22</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_Toc19242 </w:instrText>
          </w:r>
          <w:r>
            <w:rPr>
              <w:bCs/>
              <w:highlight w:val="none"/>
              <w:lang w:val="zh-CN"/>
            </w:rPr>
            <w:fldChar w:fldCharType="separate"/>
          </w:r>
          <w:r>
            <w:rPr>
              <w:rFonts w:hint="eastAsia" w:ascii="宋体" w:hAnsi="宋体" w:eastAsia="宋体"/>
              <w:i w:val="0"/>
              <w:szCs w:val="30"/>
              <w:lang w:val="en-US" w:eastAsia="zh-CN"/>
            </w:rPr>
            <w:t xml:space="preserve">2.2.2. </w:t>
          </w:r>
          <w:r>
            <w:rPr>
              <w:rFonts w:hint="eastAsia"/>
              <w:highlight w:val="none"/>
              <w:lang w:val="en-US" w:eastAsia="zh-CN"/>
            </w:rPr>
            <w:t>安全管理中心场地需求分析</w:t>
          </w:r>
          <w:r>
            <w:tab/>
          </w:r>
          <w:r>
            <w:fldChar w:fldCharType="begin"/>
          </w:r>
          <w:r>
            <w:instrText xml:space="preserve"> PAGEREF _Toc19242 \h </w:instrText>
          </w:r>
          <w:r>
            <w:fldChar w:fldCharType="separate"/>
          </w:r>
          <w:r>
            <w:t>23</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_Toc14488 </w:instrText>
          </w:r>
          <w:r>
            <w:rPr>
              <w:bCs/>
              <w:highlight w:val="none"/>
              <w:lang w:val="zh-CN"/>
            </w:rPr>
            <w:fldChar w:fldCharType="separate"/>
          </w:r>
          <w:r>
            <w:rPr>
              <w:rFonts w:hint="eastAsia" w:ascii="宋体" w:hAnsi="宋体" w:eastAsia="宋体"/>
              <w:i w:val="0"/>
              <w:szCs w:val="30"/>
              <w:lang w:val="en-US" w:eastAsia="zh-CN"/>
            </w:rPr>
            <w:t xml:space="preserve">2.2.3. </w:t>
          </w:r>
          <w:r>
            <w:rPr>
              <w:rFonts w:hint="eastAsia"/>
              <w:highlight w:val="none"/>
              <w:lang w:val="en-US" w:eastAsia="zh-CN"/>
            </w:rPr>
            <w:t>机房建设需求分析</w:t>
          </w:r>
          <w:r>
            <w:tab/>
          </w:r>
          <w:r>
            <w:fldChar w:fldCharType="begin"/>
          </w:r>
          <w:r>
            <w:instrText xml:space="preserve"> PAGEREF _Toc14488 \h </w:instrText>
          </w:r>
          <w:r>
            <w:fldChar w:fldCharType="separate"/>
          </w:r>
          <w:r>
            <w:t>24</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_Toc22947 </w:instrText>
          </w:r>
          <w:r>
            <w:rPr>
              <w:bCs/>
              <w:highlight w:val="none"/>
              <w:lang w:val="zh-CN"/>
            </w:rPr>
            <w:fldChar w:fldCharType="separate"/>
          </w:r>
          <w:r>
            <w:rPr>
              <w:rFonts w:hint="eastAsia" w:ascii="宋体" w:hAnsi="宋体" w:eastAsia="宋体"/>
              <w:i w:val="0"/>
              <w:szCs w:val="30"/>
              <w:lang w:val="en-US" w:eastAsia="zh-CN"/>
            </w:rPr>
            <w:t xml:space="preserve">2.2.4. </w:t>
          </w:r>
          <w:r>
            <w:rPr>
              <w:rFonts w:hint="eastAsia"/>
              <w:highlight w:val="none"/>
              <w:lang w:val="en-US" w:eastAsia="zh-CN"/>
            </w:rPr>
            <w:t>视频监控系统整合需求分析</w:t>
          </w:r>
          <w:r>
            <w:tab/>
          </w:r>
          <w:r>
            <w:fldChar w:fldCharType="begin"/>
          </w:r>
          <w:r>
            <w:instrText xml:space="preserve"> PAGEREF _Toc22947 \h </w:instrText>
          </w:r>
          <w:r>
            <w:fldChar w:fldCharType="separate"/>
          </w:r>
          <w:r>
            <w:t>25</w:t>
          </w:r>
          <w:r>
            <w:fldChar w:fldCharType="end"/>
          </w:r>
          <w:r>
            <w:rPr>
              <w:bCs/>
              <w:highlight w:val="none"/>
              <w:lang w:val="zh-CN"/>
            </w:rPr>
            <w:fldChar w:fldCharType="end"/>
          </w:r>
        </w:p>
        <w:p>
          <w:pPr>
            <w:pStyle w:val="22"/>
            <w:tabs>
              <w:tab w:val="right" w:leader="dot" w:pos="8312"/>
            </w:tabs>
          </w:pPr>
          <w:r>
            <w:rPr>
              <w:bCs/>
              <w:highlight w:val="none"/>
              <w:lang w:val="zh-CN"/>
            </w:rPr>
            <w:fldChar w:fldCharType="begin"/>
          </w:r>
          <w:r>
            <w:rPr>
              <w:bCs/>
              <w:highlight w:val="none"/>
              <w:lang w:val="zh-CN"/>
            </w:rPr>
            <w:instrText xml:space="preserve"> HYPERLINK \l _Toc4573 </w:instrText>
          </w:r>
          <w:r>
            <w:rPr>
              <w:bCs/>
              <w:highlight w:val="none"/>
              <w:lang w:val="zh-CN"/>
            </w:rPr>
            <w:fldChar w:fldCharType="separate"/>
          </w:r>
          <w:r>
            <w:rPr>
              <w:rFonts w:hint="eastAsia" w:eastAsia="宋体"/>
              <w:i w:val="0"/>
              <w:szCs w:val="44"/>
            </w:rPr>
            <w:t xml:space="preserve">第3章. </w:t>
          </w:r>
          <w:r>
            <w:rPr>
              <w:rFonts w:hint="eastAsia"/>
              <w:highlight w:val="none"/>
            </w:rPr>
            <w:t>详细方案设计</w:t>
          </w:r>
          <w:r>
            <w:tab/>
          </w:r>
          <w:r>
            <w:fldChar w:fldCharType="begin"/>
          </w:r>
          <w:r>
            <w:instrText xml:space="preserve"> PAGEREF _Toc4573 \h </w:instrText>
          </w:r>
          <w:r>
            <w:fldChar w:fldCharType="separate"/>
          </w:r>
          <w:r>
            <w:t>26</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_Toc23467 </w:instrText>
          </w:r>
          <w:r>
            <w:rPr>
              <w:bCs/>
              <w:highlight w:val="none"/>
              <w:lang w:val="zh-CN"/>
            </w:rPr>
            <w:fldChar w:fldCharType="separate"/>
          </w:r>
          <w:r>
            <w:rPr>
              <w:rFonts w:hint="eastAsia" w:ascii="宋体" w:hAnsi="宋体" w:eastAsia="宋体"/>
              <w:i w:val="0"/>
              <w:szCs w:val="32"/>
            </w:rPr>
            <w:t xml:space="preserve">3.1. </w:t>
          </w:r>
          <w:r>
            <w:rPr>
              <w:rFonts w:hint="eastAsia"/>
              <w:lang w:val="en-US" w:eastAsia="zh-CN"/>
            </w:rPr>
            <w:t>建设理念</w:t>
          </w:r>
          <w:r>
            <w:tab/>
          </w:r>
          <w:r>
            <w:fldChar w:fldCharType="begin"/>
          </w:r>
          <w:r>
            <w:instrText xml:space="preserve"> PAGEREF _Toc23467 \h </w:instrText>
          </w:r>
          <w:r>
            <w:fldChar w:fldCharType="separate"/>
          </w:r>
          <w:r>
            <w:t>26</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_Toc5822 </w:instrText>
          </w:r>
          <w:r>
            <w:rPr>
              <w:bCs/>
              <w:highlight w:val="none"/>
              <w:lang w:val="zh-CN"/>
            </w:rPr>
            <w:fldChar w:fldCharType="separate"/>
          </w:r>
          <w:r>
            <w:rPr>
              <w:rFonts w:hint="eastAsia" w:ascii="宋体" w:hAnsi="宋体" w:eastAsia="宋体"/>
              <w:i w:val="0"/>
              <w:szCs w:val="32"/>
              <w:lang w:val="en-US" w:eastAsia="zh-CN"/>
            </w:rPr>
            <w:t xml:space="preserve">3.2. </w:t>
          </w:r>
          <w:r>
            <w:rPr>
              <w:rFonts w:hint="eastAsia"/>
              <w:lang w:val="en-US" w:eastAsia="zh-CN"/>
            </w:rPr>
            <w:t>建设目标</w:t>
          </w:r>
          <w:r>
            <w:tab/>
          </w:r>
          <w:r>
            <w:fldChar w:fldCharType="begin"/>
          </w:r>
          <w:r>
            <w:instrText xml:space="preserve"> PAGEREF _Toc5822 \h </w:instrText>
          </w:r>
          <w:r>
            <w:fldChar w:fldCharType="separate"/>
          </w:r>
          <w:r>
            <w:t>26</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_Toc3131 </w:instrText>
          </w:r>
          <w:r>
            <w:rPr>
              <w:bCs/>
              <w:highlight w:val="none"/>
              <w:lang w:val="zh-CN"/>
            </w:rPr>
            <w:fldChar w:fldCharType="separate"/>
          </w:r>
          <w:r>
            <w:rPr>
              <w:rFonts w:hint="eastAsia" w:ascii="宋体" w:hAnsi="宋体" w:eastAsia="宋体"/>
              <w:i w:val="0"/>
              <w:szCs w:val="32"/>
            </w:rPr>
            <w:t xml:space="preserve">3.3. </w:t>
          </w:r>
          <w:r>
            <w:rPr>
              <w:rFonts w:hint="eastAsia"/>
              <w:highlight w:val="none"/>
              <w:lang w:val="en-US" w:eastAsia="zh-CN"/>
            </w:rPr>
            <w:t>设计内容</w:t>
          </w:r>
          <w:r>
            <w:tab/>
          </w:r>
          <w:r>
            <w:fldChar w:fldCharType="begin"/>
          </w:r>
          <w:r>
            <w:instrText xml:space="preserve"> PAGEREF _Toc3131 \h </w:instrText>
          </w:r>
          <w:r>
            <w:fldChar w:fldCharType="separate"/>
          </w:r>
          <w:r>
            <w:t>26</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_Toc10004 </w:instrText>
          </w:r>
          <w:r>
            <w:rPr>
              <w:bCs/>
              <w:highlight w:val="none"/>
              <w:lang w:val="zh-CN"/>
            </w:rPr>
            <w:fldChar w:fldCharType="separate"/>
          </w:r>
          <w:r>
            <w:rPr>
              <w:rFonts w:hint="eastAsia" w:ascii="宋体" w:hAnsi="宋体" w:eastAsia="宋体"/>
              <w:i w:val="0"/>
              <w:szCs w:val="32"/>
              <w:lang w:val="en-US" w:eastAsia="zh-CN"/>
            </w:rPr>
            <w:t xml:space="preserve">3.4. </w:t>
          </w:r>
          <w:r>
            <w:rPr>
              <w:rFonts w:hint="eastAsia"/>
              <w:highlight w:val="none"/>
              <w:lang w:val="en-US" w:eastAsia="zh-CN"/>
            </w:rPr>
            <w:t>机房建设标准</w:t>
          </w:r>
          <w:r>
            <w:tab/>
          </w:r>
          <w:r>
            <w:fldChar w:fldCharType="begin"/>
          </w:r>
          <w:r>
            <w:instrText xml:space="preserve"> PAGEREF _Toc10004 \h </w:instrText>
          </w:r>
          <w:r>
            <w:fldChar w:fldCharType="separate"/>
          </w:r>
          <w:r>
            <w:t>27</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_Toc22088 </w:instrText>
          </w:r>
          <w:r>
            <w:rPr>
              <w:bCs/>
              <w:highlight w:val="none"/>
              <w:lang w:val="zh-CN"/>
            </w:rPr>
            <w:fldChar w:fldCharType="separate"/>
          </w:r>
          <w:r>
            <w:rPr>
              <w:rFonts w:hint="eastAsia" w:ascii="宋体" w:hAnsi="宋体" w:eastAsia="宋体"/>
              <w:i w:val="0"/>
              <w:szCs w:val="32"/>
              <w:lang w:val="en-US" w:eastAsia="zh-CN"/>
            </w:rPr>
            <w:t xml:space="preserve">3.5. </w:t>
          </w:r>
          <w:r>
            <w:rPr>
              <w:rFonts w:hint="eastAsia"/>
              <w:highlight w:val="none"/>
              <w:lang w:val="en-US" w:eastAsia="zh-CN"/>
            </w:rPr>
            <w:t>场地规划</w:t>
          </w:r>
          <w:r>
            <w:tab/>
          </w:r>
          <w:r>
            <w:fldChar w:fldCharType="begin"/>
          </w:r>
          <w:r>
            <w:instrText xml:space="preserve"> PAGEREF _Toc22088 \h </w:instrText>
          </w:r>
          <w:r>
            <w:fldChar w:fldCharType="separate"/>
          </w:r>
          <w:r>
            <w:t>28</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_Toc13409 </w:instrText>
          </w:r>
          <w:r>
            <w:rPr>
              <w:bCs/>
              <w:highlight w:val="none"/>
              <w:lang w:val="zh-CN"/>
            </w:rPr>
            <w:fldChar w:fldCharType="separate"/>
          </w:r>
          <w:r>
            <w:rPr>
              <w:rFonts w:hint="eastAsia" w:ascii="宋体" w:hAnsi="宋体" w:eastAsia="宋体"/>
              <w:i w:val="0"/>
              <w:szCs w:val="32"/>
              <w:lang w:val="en-US" w:eastAsia="zh-CN"/>
            </w:rPr>
            <w:t xml:space="preserve">3.6. </w:t>
          </w:r>
          <w:r>
            <w:rPr>
              <w:rFonts w:hint="eastAsia"/>
              <w:highlight w:val="none"/>
              <w:lang w:val="en-US" w:eastAsia="zh-CN"/>
            </w:rPr>
            <w:t>大屏显示系统</w:t>
          </w:r>
          <w:r>
            <w:tab/>
          </w:r>
          <w:r>
            <w:fldChar w:fldCharType="begin"/>
          </w:r>
          <w:r>
            <w:instrText xml:space="preserve"> PAGEREF _Toc13409 \h </w:instrText>
          </w:r>
          <w:r>
            <w:fldChar w:fldCharType="separate"/>
          </w:r>
          <w:r>
            <w:t>31</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_Toc22053 </w:instrText>
          </w:r>
          <w:r>
            <w:rPr>
              <w:bCs/>
              <w:highlight w:val="none"/>
              <w:lang w:val="zh-CN"/>
            </w:rPr>
            <w:fldChar w:fldCharType="separate"/>
          </w:r>
          <w:r>
            <w:rPr>
              <w:rFonts w:hint="eastAsia" w:ascii="宋体" w:hAnsi="宋体" w:eastAsia="宋体"/>
              <w:i w:val="0"/>
              <w:szCs w:val="30"/>
              <w:lang w:val="en-US" w:eastAsia="zh-CN"/>
            </w:rPr>
            <w:t xml:space="preserve">3.6.1. </w:t>
          </w:r>
          <w:r>
            <w:rPr>
              <w:rFonts w:hint="eastAsia"/>
              <w:highlight w:val="none"/>
              <w:lang w:val="en-US" w:eastAsia="zh-CN"/>
            </w:rPr>
            <w:t>视频拼接控制器</w:t>
          </w:r>
          <w:r>
            <w:tab/>
          </w:r>
          <w:r>
            <w:fldChar w:fldCharType="begin"/>
          </w:r>
          <w:r>
            <w:instrText xml:space="preserve"> PAGEREF _Toc22053 \h </w:instrText>
          </w:r>
          <w:r>
            <w:fldChar w:fldCharType="separate"/>
          </w:r>
          <w:r>
            <w:t>31</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_Toc32543 </w:instrText>
          </w:r>
          <w:r>
            <w:rPr>
              <w:bCs/>
              <w:highlight w:val="none"/>
              <w:lang w:val="zh-CN"/>
            </w:rPr>
            <w:fldChar w:fldCharType="separate"/>
          </w:r>
          <w:r>
            <w:rPr>
              <w:rFonts w:hint="eastAsia" w:ascii="宋体" w:hAnsi="宋体" w:eastAsia="宋体"/>
              <w:i w:val="0"/>
              <w:szCs w:val="30"/>
              <w:lang w:val="en-US" w:eastAsia="zh-CN"/>
            </w:rPr>
            <w:t xml:space="preserve">3.6.2. </w:t>
          </w:r>
          <w:r>
            <w:rPr>
              <w:rFonts w:hint="eastAsia"/>
              <w:highlight w:val="none"/>
              <w:lang w:val="en-US" w:eastAsia="zh-CN"/>
            </w:rPr>
            <w:t>显示模式</w:t>
          </w:r>
          <w:r>
            <w:tab/>
          </w:r>
          <w:r>
            <w:fldChar w:fldCharType="begin"/>
          </w:r>
          <w:r>
            <w:instrText xml:space="preserve"> PAGEREF _Toc32543 \h </w:instrText>
          </w:r>
          <w:r>
            <w:fldChar w:fldCharType="separate"/>
          </w:r>
          <w:r>
            <w:t>32</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_Toc21006 </w:instrText>
          </w:r>
          <w:r>
            <w:rPr>
              <w:bCs/>
              <w:highlight w:val="none"/>
              <w:lang w:val="zh-CN"/>
            </w:rPr>
            <w:fldChar w:fldCharType="separate"/>
          </w:r>
          <w:r>
            <w:rPr>
              <w:rFonts w:hint="eastAsia" w:ascii="宋体" w:hAnsi="宋体" w:eastAsia="宋体"/>
              <w:i w:val="0"/>
              <w:szCs w:val="30"/>
              <w:lang w:val="en-US" w:eastAsia="zh-CN"/>
            </w:rPr>
            <w:t xml:space="preserve">3.6.3. </w:t>
          </w:r>
          <w:r>
            <w:rPr>
              <w:rFonts w:hint="eastAsia"/>
              <w:highlight w:val="none"/>
              <w:lang w:val="en-US" w:eastAsia="zh-CN"/>
            </w:rPr>
            <w:t>大屏设计</w:t>
          </w:r>
          <w:r>
            <w:tab/>
          </w:r>
          <w:r>
            <w:fldChar w:fldCharType="begin"/>
          </w:r>
          <w:r>
            <w:instrText xml:space="preserve"> PAGEREF _Toc21006 \h </w:instrText>
          </w:r>
          <w:r>
            <w:fldChar w:fldCharType="separate"/>
          </w:r>
          <w:r>
            <w:t>36</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_Toc17819 </w:instrText>
          </w:r>
          <w:r>
            <w:rPr>
              <w:bCs/>
              <w:highlight w:val="none"/>
              <w:lang w:val="zh-CN"/>
            </w:rPr>
            <w:fldChar w:fldCharType="separate"/>
          </w:r>
          <w:r>
            <w:rPr>
              <w:rFonts w:hint="eastAsia" w:ascii="宋体" w:hAnsi="宋体" w:eastAsia="宋体"/>
              <w:i w:val="0"/>
              <w:szCs w:val="32"/>
              <w:lang w:val="en-US" w:eastAsia="zh-CN"/>
            </w:rPr>
            <w:t xml:space="preserve">3.7. </w:t>
          </w:r>
          <w:r>
            <w:rPr>
              <w:rFonts w:hint="eastAsia"/>
              <w:highlight w:val="none"/>
              <w:lang w:val="en-US" w:eastAsia="zh-CN"/>
            </w:rPr>
            <w:t>UPS配电系统</w:t>
          </w:r>
          <w:r>
            <w:tab/>
          </w:r>
          <w:r>
            <w:fldChar w:fldCharType="begin"/>
          </w:r>
          <w:r>
            <w:instrText xml:space="preserve"> PAGEREF _Toc17819 \h </w:instrText>
          </w:r>
          <w:r>
            <w:fldChar w:fldCharType="separate"/>
          </w:r>
          <w:r>
            <w:t>37</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_Toc25622 </w:instrText>
          </w:r>
          <w:r>
            <w:rPr>
              <w:bCs/>
              <w:highlight w:val="none"/>
              <w:lang w:val="zh-CN"/>
            </w:rPr>
            <w:fldChar w:fldCharType="separate"/>
          </w:r>
          <w:r>
            <w:rPr>
              <w:rFonts w:hint="eastAsia" w:ascii="宋体" w:hAnsi="宋体" w:eastAsia="宋体"/>
              <w:i w:val="0"/>
              <w:szCs w:val="32"/>
              <w:lang w:val="en-US" w:eastAsia="zh-CN"/>
            </w:rPr>
            <w:t xml:space="preserve">3.8. </w:t>
          </w:r>
          <w:r>
            <w:rPr>
              <w:rFonts w:hint="eastAsia"/>
              <w:highlight w:val="none"/>
              <w:lang w:val="en-US" w:eastAsia="zh-CN"/>
            </w:rPr>
            <w:t>门禁监控系统</w:t>
          </w:r>
          <w:r>
            <w:tab/>
          </w:r>
          <w:r>
            <w:fldChar w:fldCharType="begin"/>
          </w:r>
          <w:r>
            <w:instrText xml:space="preserve"> PAGEREF _Toc25622 \h </w:instrText>
          </w:r>
          <w:r>
            <w:fldChar w:fldCharType="separate"/>
          </w:r>
          <w:r>
            <w:t>38</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_Toc8878 </w:instrText>
          </w:r>
          <w:r>
            <w:rPr>
              <w:bCs/>
              <w:highlight w:val="none"/>
              <w:lang w:val="zh-CN"/>
            </w:rPr>
            <w:fldChar w:fldCharType="separate"/>
          </w:r>
          <w:r>
            <w:rPr>
              <w:rFonts w:hint="eastAsia" w:ascii="宋体" w:hAnsi="宋体" w:eastAsia="宋体"/>
              <w:i w:val="0"/>
              <w:szCs w:val="30"/>
              <w:lang w:val="en-US" w:eastAsia="zh-CN"/>
            </w:rPr>
            <w:t xml:space="preserve">3.8.1. </w:t>
          </w:r>
          <w:r>
            <w:rPr>
              <w:rFonts w:hint="eastAsia"/>
              <w:highlight w:val="none"/>
              <w:lang w:val="en-US" w:eastAsia="zh-CN"/>
            </w:rPr>
            <w:t>门禁管理系统</w:t>
          </w:r>
          <w:r>
            <w:tab/>
          </w:r>
          <w:r>
            <w:fldChar w:fldCharType="begin"/>
          </w:r>
          <w:r>
            <w:instrText xml:space="preserve"> PAGEREF _Toc8878 \h </w:instrText>
          </w:r>
          <w:r>
            <w:fldChar w:fldCharType="separate"/>
          </w:r>
          <w:r>
            <w:t>38</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_Toc18557 </w:instrText>
          </w:r>
          <w:r>
            <w:rPr>
              <w:bCs/>
              <w:highlight w:val="none"/>
              <w:lang w:val="zh-CN"/>
            </w:rPr>
            <w:fldChar w:fldCharType="separate"/>
          </w:r>
          <w:r>
            <w:rPr>
              <w:rFonts w:hint="eastAsia" w:ascii="宋体" w:hAnsi="宋体" w:eastAsia="宋体"/>
              <w:i w:val="0"/>
              <w:szCs w:val="30"/>
            </w:rPr>
            <w:t xml:space="preserve">3.8.2. </w:t>
          </w:r>
          <w:r>
            <w:rPr>
              <w:rFonts w:hint="eastAsia"/>
              <w:highlight w:val="none"/>
              <w:lang w:val="en-US" w:eastAsia="zh-CN"/>
            </w:rPr>
            <w:t>视频监控系统</w:t>
          </w:r>
          <w:r>
            <w:tab/>
          </w:r>
          <w:r>
            <w:fldChar w:fldCharType="begin"/>
          </w:r>
          <w:r>
            <w:instrText xml:space="preserve"> PAGEREF _Toc18557 \h </w:instrText>
          </w:r>
          <w:r>
            <w:fldChar w:fldCharType="separate"/>
          </w:r>
          <w:r>
            <w:t>41</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_Toc25402 </w:instrText>
          </w:r>
          <w:r>
            <w:rPr>
              <w:bCs/>
              <w:highlight w:val="none"/>
              <w:lang w:val="zh-CN"/>
            </w:rPr>
            <w:fldChar w:fldCharType="separate"/>
          </w:r>
          <w:r>
            <w:rPr>
              <w:rFonts w:hint="eastAsia" w:ascii="宋体" w:hAnsi="宋体" w:eastAsia="宋体"/>
              <w:i w:val="0"/>
              <w:szCs w:val="32"/>
              <w:lang w:val="en-US" w:eastAsia="zh-CN"/>
            </w:rPr>
            <w:t xml:space="preserve">3.9. </w:t>
          </w:r>
          <w:r>
            <w:rPr>
              <w:rFonts w:hint="eastAsia"/>
              <w:highlight w:val="none"/>
              <w:lang w:val="en-US" w:eastAsia="zh-CN"/>
            </w:rPr>
            <w:t>自动气体灭火系统</w:t>
          </w:r>
          <w:r>
            <w:tab/>
          </w:r>
          <w:r>
            <w:fldChar w:fldCharType="begin"/>
          </w:r>
          <w:r>
            <w:instrText xml:space="preserve"> PAGEREF _Toc25402 \h </w:instrText>
          </w:r>
          <w:r>
            <w:fldChar w:fldCharType="separate"/>
          </w:r>
          <w:r>
            <w:t>43</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_Toc7096 </w:instrText>
          </w:r>
          <w:r>
            <w:rPr>
              <w:bCs/>
              <w:highlight w:val="none"/>
              <w:lang w:val="zh-CN"/>
            </w:rPr>
            <w:fldChar w:fldCharType="separate"/>
          </w:r>
          <w:r>
            <w:rPr>
              <w:rFonts w:hint="eastAsia" w:ascii="宋体" w:hAnsi="宋体" w:eastAsia="宋体" w:cs="宋体"/>
              <w:i w:val="0"/>
              <w:szCs w:val="30"/>
              <w:lang w:val="en-US" w:eastAsia="zh-CN"/>
            </w:rPr>
            <w:t xml:space="preserve">3.9.1. </w:t>
          </w:r>
          <w:r>
            <w:rPr>
              <w:rFonts w:hint="eastAsia" w:ascii="宋体" w:hAnsi="宋体" w:cs="宋体"/>
              <w:szCs w:val="20"/>
              <w:highlight w:val="none"/>
              <w:lang w:val="en-US" w:eastAsia="zh-CN"/>
            </w:rPr>
            <w:t>系统概述</w:t>
          </w:r>
          <w:r>
            <w:tab/>
          </w:r>
          <w:r>
            <w:fldChar w:fldCharType="begin"/>
          </w:r>
          <w:r>
            <w:instrText xml:space="preserve"> PAGEREF _Toc7096 \h </w:instrText>
          </w:r>
          <w:r>
            <w:fldChar w:fldCharType="separate"/>
          </w:r>
          <w:r>
            <w:t>43</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_Toc4244 </w:instrText>
          </w:r>
          <w:r>
            <w:rPr>
              <w:bCs/>
              <w:highlight w:val="none"/>
              <w:lang w:val="zh-CN"/>
            </w:rPr>
            <w:fldChar w:fldCharType="separate"/>
          </w:r>
          <w:r>
            <w:rPr>
              <w:rFonts w:hint="eastAsia" w:ascii="宋体" w:hAnsi="宋体" w:eastAsia="宋体" w:cs="宋体"/>
              <w:i w:val="0"/>
              <w:szCs w:val="30"/>
              <w:lang w:val="en-US" w:eastAsia="zh-CN"/>
            </w:rPr>
            <w:t xml:space="preserve">3.9.2. </w:t>
          </w:r>
          <w:r>
            <w:rPr>
              <w:rFonts w:hint="eastAsia" w:ascii="宋体" w:hAnsi="宋体" w:cs="宋体"/>
              <w:szCs w:val="20"/>
              <w:highlight w:val="none"/>
              <w:lang w:val="en-US" w:eastAsia="zh-CN"/>
            </w:rPr>
            <w:t>系统组成</w:t>
          </w:r>
          <w:r>
            <w:tab/>
          </w:r>
          <w:r>
            <w:fldChar w:fldCharType="begin"/>
          </w:r>
          <w:r>
            <w:instrText xml:space="preserve"> PAGEREF _Toc4244 \h </w:instrText>
          </w:r>
          <w:r>
            <w:fldChar w:fldCharType="separate"/>
          </w:r>
          <w:r>
            <w:t>44</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_Toc28077 </w:instrText>
          </w:r>
          <w:r>
            <w:rPr>
              <w:bCs/>
              <w:highlight w:val="none"/>
              <w:lang w:val="zh-CN"/>
            </w:rPr>
            <w:fldChar w:fldCharType="separate"/>
          </w:r>
          <w:r>
            <w:rPr>
              <w:rFonts w:hint="eastAsia" w:ascii="宋体" w:hAnsi="宋体" w:eastAsia="宋体" w:cs="宋体"/>
              <w:i w:val="0"/>
              <w:szCs w:val="30"/>
              <w:lang w:val="en-US" w:eastAsia="zh-CN"/>
            </w:rPr>
            <w:t xml:space="preserve">3.9.3. </w:t>
          </w:r>
          <w:r>
            <w:rPr>
              <w:rFonts w:hint="eastAsia" w:ascii="宋体" w:hAnsi="宋体" w:cs="宋体"/>
              <w:szCs w:val="20"/>
              <w:highlight w:val="none"/>
              <w:lang w:val="en-US" w:eastAsia="zh-CN"/>
            </w:rPr>
            <w:t>配置方案</w:t>
          </w:r>
          <w:r>
            <w:tab/>
          </w:r>
          <w:r>
            <w:fldChar w:fldCharType="begin"/>
          </w:r>
          <w:r>
            <w:instrText xml:space="preserve"> PAGEREF _Toc28077 \h </w:instrText>
          </w:r>
          <w:r>
            <w:fldChar w:fldCharType="separate"/>
          </w:r>
          <w:r>
            <w:t>47</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_Toc8006 </w:instrText>
          </w:r>
          <w:r>
            <w:rPr>
              <w:bCs/>
              <w:highlight w:val="none"/>
              <w:lang w:val="zh-CN"/>
            </w:rPr>
            <w:fldChar w:fldCharType="separate"/>
          </w:r>
          <w:r>
            <w:rPr>
              <w:rFonts w:hint="eastAsia" w:ascii="宋体" w:hAnsi="宋体" w:eastAsia="宋体" w:cs="宋体"/>
              <w:i w:val="0"/>
              <w:szCs w:val="32"/>
              <w:lang w:val="en-US" w:eastAsia="zh-CN"/>
            </w:rPr>
            <w:t xml:space="preserve">3.10. </w:t>
          </w:r>
          <w:r>
            <w:rPr>
              <w:rFonts w:hint="eastAsia" w:ascii="宋体" w:hAnsi="宋体" w:eastAsia="宋体" w:cs="宋体"/>
              <w:highlight w:val="none"/>
              <w:lang w:val="en-US" w:eastAsia="zh-CN"/>
            </w:rPr>
            <w:t>入侵报警系统</w:t>
          </w:r>
          <w:r>
            <w:tab/>
          </w:r>
          <w:r>
            <w:fldChar w:fldCharType="begin"/>
          </w:r>
          <w:r>
            <w:instrText xml:space="preserve"> PAGEREF _Toc8006 \h </w:instrText>
          </w:r>
          <w:r>
            <w:fldChar w:fldCharType="separate"/>
          </w:r>
          <w:r>
            <w:t>48</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_Toc31740 </w:instrText>
          </w:r>
          <w:r>
            <w:rPr>
              <w:bCs/>
              <w:highlight w:val="none"/>
              <w:lang w:val="zh-CN"/>
            </w:rPr>
            <w:fldChar w:fldCharType="separate"/>
          </w:r>
          <w:r>
            <w:rPr>
              <w:rFonts w:hint="eastAsia" w:ascii="宋体" w:hAnsi="宋体" w:eastAsia="宋体" w:cs="宋体"/>
              <w:i w:val="0"/>
              <w:szCs w:val="30"/>
              <w:lang w:val="en-US" w:eastAsia="zh-CN"/>
            </w:rPr>
            <w:t xml:space="preserve">3.10.1. </w:t>
          </w:r>
          <w:r>
            <w:rPr>
              <w:rFonts w:hint="eastAsia" w:ascii="宋体" w:hAnsi="宋体" w:eastAsia="宋体" w:cs="宋体"/>
              <w:szCs w:val="20"/>
              <w:highlight w:val="none"/>
              <w:lang w:val="en-US" w:eastAsia="zh-CN"/>
            </w:rPr>
            <w:t>系统概述</w:t>
          </w:r>
          <w:r>
            <w:tab/>
          </w:r>
          <w:r>
            <w:fldChar w:fldCharType="begin"/>
          </w:r>
          <w:r>
            <w:instrText xml:space="preserve"> PAGEREF _Toc31740 \h </w:instrText>
          </w:r>
          <w:r>
            <w:fldChar w:fldCharType="separate"/>
          </w:r>
          <w:r>
            <w:t>48</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_Toc27850 </w:instrText>
          </w:r>
          <w:r>
            <w:rPr>
              <w:bCs/>
              <w:highlight w:val="none"/>
              <w:lang w:val="zh-CN"/>
            </w:rPr>
            <w:fldChar w:fldCharType="separate"/>
          </w:r>
          <w:r>
            <w:rPr>
              <w:rFonts w:hint="eastAsia" w:ascii="宋体" w:hAnsi="宋体" w:eastAsia="宋体" w:cs="宋体"/>
              <w:i w:val="0"/>
              <w:szCs w:val="30"/>
              <w:lang w:val="en-US" w:eastAsia="zh-CN"/>
            </w:rPr>
            <w:t xml:space="preserve">3.10.2. </w:t>
          </w:r>
          <w:r>
            <w:rPr>
              <w:rFonts w:hint="eastAsia" w:ascii="宋体" w:hAnsi="宋体" w:eastAsia="宋体" w:cs="宋体"/>
              <w:lang w:val="en-US" w:eastAsia="zh-CN"/>
            </w:rPr>
            <w:t>系统组成</w:t>
          </w:r>
          <w:r>
            <w:tab/>
          </w:r>
          <w:r>
            <w:fldChar w:fldCharType="begin"/>
          </w:r>
          <w:r>
            <w:instrText xml:space="preserve"> PAGEREF _Toc27850 \h </w:instrText>
          </w:r>
          <w:r>
            <w:fldChar w:fldCharType="separate"/>
          </w:r>
          <w:r>
            <w:t>48</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_Toc13120 </w:instrText>
          </w:r>
          <w:r>
            <w:rPr>
              <w:bCs/>
              <w:highlight w:val="none"/>
              <w:lang w:val="zh-CN"/>
            </w:rPr>
            <w:fldChar w:fldCharType="separate"/>
          </w:r>
          <w:r>
            <w:rPr>
              <w:rFonts w:hint="eastAsia" w:ascii="宋体" w:hAnsi="宋体" w:eastAsia="宋体" w:cs="宋体"/>
              <w:i w:val="0"/>
              <w:szCs w:val="30"/>
              <w:lang w:val="en-US" w:eastAsia="zh-CN"/>
            </w:rPr>
            <w:t xml:space="preserve">3.10.3. </w:t>
          </w:r>
          <w:r>
            <w:rPr>
              <w:rFonts w:hint="eastAsia" w:ascii="宋体" w:hAnsi="宋体" w:eastAsia="宋体" w:cs="宋体"/>
              <w:lang w:val="en-US" w:eastAsia="zh-CN"/>
            </w:rPr>
            <w:t>配置方案</w:t>
          </w:r>
          <w:r>
            <w:tab/>
          </w:r>
          <w:r>
            <w:fldChar w:fldCharType="begin"/>
          </w:r>
          <w:r>
            <w:instrText xml:space="preserve"> PAGEREF _Toc13120 \h </w:instrText>
          </w:r>
          <w:r>
            <w:fldChar w:fldCharType="separate"/>
          </w:r>
          <w:r>
            <w:t>50</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_Toc19500 </w:instrText>
          </w:r>
          <w:r>
            <w:rPr>
              <w:bCs/>
              <w:highlight w:val="none"/>
              <w:lang w:val="zh-CN"/>
            </w:rPr>
            <w:fldChar w:fldCharType="separate"/>
          </w:r>
          <w:r>
            <w:rPr>
              <w:rFonts w:hint="eastAsia" w:ascii="宋体" w:hAnsi="宋体" w:eastAsia="宋体"/>
              <w:i w:val="0"/>
              <w:szCs w:val="32"/>
              <w:lang w:val="en-US" w:eastAsia="zh-CN"/>
            </w:rPr>
            <w:t xml:space="preserve">3.11. </w:t>
          </w:r>
          <w:r>
            <w:rPr>
              <w:rFonts w:hint="eastAsia"/>
              <w:highlight w:val="none"/>
              <w:lang w:val="en-US" w:eastAsia="zh-CN"/>
            </w:rPr>
            <w:t>相关配套</w:t>
          </w:r>
          <w:r>
            <w:tab/>
          </w:r>
          <w:r>
            <w:fldChar w:fldCharType="begin"/>
          </w:r>
          <w:r>
            <w:instrText xml:space="preserve"> PAGEREF _Toc19500 \h </w:instrText>
          </w:r>
          <w:r>
            <w:fldChar w:fldCharType="separate"/>
          </w:r>
          <w:r>
            <w:t>52</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_Toc22449 </w:instrText>
          </w:r>
          <w:r>
            <w:rPr>
              <w:bCs/>
              <w:highlight w:val="none"/>
              <w:lang w:val="zh-CN"/>
            </w:rPr>
            <w:fldChar w:fldCharType="separate"/>
          </w:r>
          <w:r>
            <w:rPr>
              <w:rFonts w:hint="eastAsia" w:ascii="宋体" w:hAnsi="宋体" w:eastAsia="宋体"/>
              <w:i w:val="0"/>
              <w:szCs w:val="30"/>
              <w:lang w:val="en-US" w:eastAsia="zh-CN"/>
            </w:rPr>
            <w:t xml:space="preserve">3.11.1. </w:t>
          </w:r>
          <w:r>
            <w:rPr>
              <w:rFonts w:hint="eastAsia" w:ascii="宋体" w:hAnsi="宋体" w:cs="宋体"/>
              <w:szCs w:val="20"/>
              <w:highlight w:val="none"/>
              <w:lang w:val="en-US" w:eastAsia="zh-CN"/>
            </w:rPr>
            <w:t>空调</w:t>
          </w:r>
          <w:r>
            <w:tab/>
          </w:r>
          <w:r>
            <w:fldChar w:fldCharType="begin"/>
          </w:r>
          <w:r>
            <w:instrText xml:space="preserve"> PAGEREF _Toc22449 \h </w:instrText>
          </w:r>
          <w:r>
            <w:fldChar w:fldCharType="separate"/>
          </w:r>
          <w:r>
            <w:t>52</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_Toc8375 </w:instrText>
          </w:r>
          <w:r>
            <w:rPr>
              <w:bCs/>
              <w:highlight w:val="none"/>
              <w:lang w:val="zh-CN"/>
            </w:rPr>
            <w:fldChar w:fldCharType="separate"/>
          </w:r>
          <w:r>
            <w:rPr>
              <w:rFonts w:hint="eastAsia" w:ascii="宋体" w:hAnsi="宋体" w:eastAsia="宋体"/>
              <w:i w:val="0"/>
              <w:szCs w:val="30"/>
              <w:lang w:val="en-US" w:eastAsia="zh-CN"/>
            </w:rPr>
            <w:t xml:space="preserve">3.11.2. </w:t>
          </w:r>
          <w:r>
            <w:rPr>
              <w:rFonts w:hint="eastAsia"/>
              <w:lang w:val="en-US" w:eastAsia="zh-CN"/>
            </w:rPr>
            <w:t>其他配套</w:t>
          </w:r>
          <w:r>
            <w:tab/>
          </w:r>
          <w:r>
            <w:fldChar w:fldCharType="begin"/>
          </w:r>
          <w:r>
            <w:instrText xml:space="preserve"> PAGEREF _Toc8375 \h </w:instrText>
          </w:r>
          <w:r>
            <w:fldChar w:fldCharType="separate"/>
          </w:r>
          <w:r>
            <w:t>53</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_Toc30613 </w:instrText>
          </w:r>
          <w:r>
            <w:rPr>
              <w:bCs/>
              <w:highlight w:val="none"/>
              <w:lang w:val="zh-CN"/>
            </w:rPr>
            <w:fldChar w:fldCharType="separate"/>
          </w:r>
          <w:r>
            <w:rPr>
              <w:rFonts w:hint="eastAsia" w:ascii="宋体" w:hAnsi="宋体" w:eastAsia="宋体"/>
              <w:i w:val="0"/>
              <w:szCs w:val="32"/>
              <w:lang w:val="en-US" w:eastAsia="zh-CN"/>
            </w:rPr>
            <w:t xml:space="preserve">3.12. </w:t>
          </w:r>
          <w:r>
            <w:rPr>
              <w:rFonts w:hint="eastAsia"/>
              <w:highlight w:val="none"/>
              <w:lang w:val="en-US" w:eastAsia="zh-CN"/>
            </w:rPr>
            <w:t>机房和平台迁移</w:t>
          </w:r>
          <w:r>
            <w:tab/>
          </w:r>
          <w:r>
            <w:fldChar w:fldCharType="begin"/>
          </w:r>
          <w:r>
            <w:instrText xml:space="preserve"> PAGEREF _Toc30613 \h </w:instrText>
          </w:r>
          <w:r>
            <w:fldChar w:fldCharType="separate"/>
          </w:r>
          <w:r>
            <w:t>54</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_Toc16155 </w:instrText>
          </w:r>
          <w:r>
            <w:rPr>
              <w:bCs/>
              <w:highlight w:val="none"/>
              <w:lang w:val="zh-CN"/>
            </w:rPr>
            <w:fldChar w:fldCharType="separate"/>
          </w:r>
          <w:r>
            <w:rPr>
              <w:rFonts w:hint="eastAsia" w:ascii="宋体" w:hAnsi="宋体" w:eastAsia="宋体"/>
              <w:i w:val="0"/>
              <w:szCs w:val="30"/>
              <w:lang w:val="en-US" w:eastAsia="zh-CN"/>
            </w:rPr>
            <w:t xml:space="preserve">3.12.1. </w:t>
          </w:r>
          <w:r>
            <w:rPr>
              <w:rFonts w:hint="eastAsia"/>
              <w:lang w:val="en-US" w:eastAsia="zh-CN"/>
            </w:rPr>
            <w:t>实施思路</w:t>
          </w:r>
          <w:r>
            <w:tab/>
          </w:r>
          <w:r>
            <w:fldChar w:fldCharType="begin"/>
          </w:r>
          <w:r>
            <w:instrText xml:space="preserve"> PAGEREF _Toc16155 \h </w:instrText>
          </w:r>
          <w:r>
            <w:fldChar w:fldCharType="separate"/>
          </w:r>
          <w:r>
            <w:t>54</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_Toc7766 </w:instrText>
          </w:r>
          <w:r>
            <w:rPr>
              <w:bCs/>
              <w:highlight w:val="none"/>
              <w:lang w:val="zh-CN"/>
            </w:rPr>
            <w:fldChar w:fldCharType="separate"/>
          </w:r>
          <w:r>
            <w:rPr>
              <w:rFonts w:hint="eastAsia" w:ascii="宋体" w:hAnsi="宋体" w:eastAsia="宋体"/>
              <w:i w:val="0"/>
              <w:szCs w:val="30"/>
              <w:lang w:val="en-US" w:eastAsia="zh-CN"/>
            </w:rPr>
            <w:t xml:space="preserve">3.12.2. </w:t>
          </w:r>
          <w:r>
            <w:rPr>
              <w:rFonts w:hint="eastAsia"/>
              <w:lang w:val="en-US" w:eastAsia="zh-CN"/>
            </w:rPr>
            <w:t>迁移工作量</w:t>
          </w:r>
          <w:r>
            <w:tab/>
          </w:r>
          <w:r>
            <w:fldChar w:fldCharType="begin"/>
          </w:r>
          <w:r>
            <w:instrText xml:space="preserve"> PAGEREF _Toc7766 \h </w:instrText>
          </w:r>
          <w:r>
            <w:fldChar w:fldCharType="separate"/>
          </w:r>
          <w:r>
            <w:t>55</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_Toc20654 </w:instrText>
          </w:r>
          <w:r>
            <w:rPr>
              <w:bCs/>
              <w:highlight w:val="none"/>
              <w:lang w:val="zh-CN"/>
            </w:rPr>
            <w:fldChar w:fldCharType="separate"/>
          </w:r>
          <w:r>
            <w:rPr>
              <w:rFonts w:hint="eastAsia" w:ascii="宋体" w:hAnsi="宋体" w:eastAsia="宋体"/>
              <w:i w:val="0"/>
              <w:szCs w:val="30"/>
              <w:lang w:val="en-US" w:eastAsia="zh-CN"/>
            </w:rPr>
            <w:t xml:space="preserve">3.12.3. </w:t>
          </w:r>
          <w:r>
            <w:rPr>
              <w:rFonts w:hint="eastAsia"/>
              <w:lang w:val="en-US" w:eastAsia="zh-CN"/>
            </w:rPr>
            <w:t>迁移内容</w:t>
          </w:r>
          <w:r>
            <w:tab/>
          </w:r>
          <w:r>
            <w:fldChar w:fldCharType="begin"/>
          </w:r>
          <w:r>
            <w:instrText xml:space="preserve"> PAGEREF _Toc20654 \h </w:instrText>
          </w:r>
          <w:r>
            <w:fldChar w:fldCharType="separate"/>
          </w:r>
          <w:r>
            <w:t>55</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_Toc13630 </w:instrText>
          </w:r>
          <w:r>
            <w:rPr>
              <w:bCs/>
              <w:highlight w:val="none"/>
              <w:lang w:val="zh-CN"/>
            </w:rPr>
            <w:fldChar w:fldCharType="separate"/>
          </w:r>
          <w:r>
            <w:rPr>
              <w:rFonts w:hint="eastAsia" w:ascii="宋体" w:hAnsi="宋体" w:eastAsia="宋体"/>
              <w:i w:val="0"/>
              <w:szCs w:val="30"/>
              <w:lang w:val="en-US" w:eastAsia="zh-CN"/>
            </w:rPr>
            <w:t xml:space="preserve">3.12.4. </w:t>
          </w:r>
          <w:r>
            <w:rPr>
              <w:rFonts w:hint="eastAsia"/>
              <w:lang w:val="en-US" w:eastAsia="zh-CN"/>
            </w:rPr>
            <w:t>迁移方案</w:t>
          </w:r>
          <w:r>
            <w:tab/>
          </w:r>
          <w:r>
            <w:fldChar w:fldCharType="begin"/>
          </w:r>
          <w:r>
            <w:instrText xml:space="preserve"> PAGEREF _Toc13630 \h </w:instrText>
          </w:r>
          <w:r>
            <w:fldChar w:fldCharType="separate"/>
          </w:r>
          <w:r>
            <w:t>55</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_Toc4527 </w:instrText>
          </w:r>
          <w:r>
            <w:rPr>
              <w:bCs/>
              <w:highlight w:val="none"/>
              <w:lang w:val="zh-CN"/>
            </w:rPr>
            <w:fldChar w:fldCharType="separate"/>
          </w:r>
          <w:r>
            <w:rPr>
              <w:rFonts w:hint="eastAsia" w:ascii="宋体" w:hAnsi="宋体" w:eastAsia="宋体"/>
              <w:i w:val="0"/>
              <w:szCs w:val="30"/>
              <w:lang w:val="en-US" w:eastAsia="zh-CN"/>
            </w:rPr>
            <w:t xml:space="preserve">3.12.5. </w:t>
          </w:r>
          <w:r>
            <w:rPr>
              <w:rFonts w:hint="eastAsia"/>
              <w:lang w:val="en-US" w:eastAsia="zh-CN"/>
            </w:rPr>
            <w:t>迁移后架构</w:t>
          </w:r>
          <w:r>
            <w:tab/>
          </w:r>
          <w:r>
            <w:fldChar w:fldCharType="begin"/>
          </w:r>
          <w:r>
            <w:instrText xml:space="preserve"> PAGEREF _Toc4527 \h </w:instrText>
          </w:r>
          <w:r>
            <w:fldChar w:fldCharType="separate"/>
          </w:r>
          <w:r>
            <w:t>57</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_Toc10028 </w:instrText>
          </w:r>
          <w:r>
            <w:rPr>
              <w:bCs/>
              <w:highlight w:val="none"/>
              <w:lang w:val="zh-CN"/>
            </w:rPr>
            <w:fldChar w:fldCharType="separate"/>
          </w:r>
          <w:r>
            <w:rPr>
              <w:rFonts w:hint="eastAsia" w:ascii="宋体" w:hAnsi="宋体" w:eastAsia="宋体"/>
              <w:i w:val="0"/>
              <w:szCs w:val="32"/>
              <w:lang w:val="en-US" w:eastAsia="zh-CN"/>
            </w:rPr>
            <w:t xml:space="preserve">3.13. </w:t>
          </w:r>
          <w:r>
            <w:rPr>
              <w:rFonts w:hint="eastAsia"/>
              <w:highlight w:val="none"/>
              <w:lang w:val="en-US" w:eastAsia="zh-CN"/>
            </w:rPr>
            <w:t>装修配套</w:t>
          </w:r>
          <w:r>
            <w:tab/>
          </w:r>
          <w:r>
            <w:fldChar w:fldCharType="begin"/>
          </w:r>
          <w:r>
            <w:instrText xml:space="preserve"> PAGEREF _Toc10028 \h </w:instrText>
          </w:r>
          <w:r>
            <w:fldChar w:fldCharType="separate"/>
          </w:r>
          <w:r>
            <w:t>59</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_Toc19129 </w:instrText>
          </w:r>
          <w:r>
            <w:rPr>
              <w:bCs/>
              <w:highlight w:val="none"/>
              <w:lang w:val="zh-CN"/>
            </w:rPr>
            <w:fldChar w:fldCharType="separate"/>
          </w:r>
          <w:r>
            <w:rPr>
              <w:rFonts w:hint="eastAsia" w:ascii="宋体" w:hAnsi="宋体" w:eastAsia="宋体" w:cs="宋体"/>
              <w:i w:val="0"/>
              <w:szCs w:val="30"/>
              <w:lang w:val="en-US" w:eastAsia="zh-CN"/>
            </w:rPr>
            <w:t xml:space="preserve">3.13.1. </w:t>
          </w:r>
          <w:r>
            <w:rPr>
              <w:rFonts w:hint="eastAsia" w:ascii="宋体" w:hAnsi="宋体" w:cs="宋体"/>
              <w:szCs w:val="20"/>
              <w:highlight w:val="none"/>
              <w:lang w:val="en-US" w:eastAsia="zh-CN"/>
            </w:rPr>
            <w:t>防静电地板</w:t>
          </w:r>
          <w:r>
            <w:tab/>
          </w:r>
          <w:r>
            <w:fldChar w:fldCharType="begin"/>
          </w:r>
          <w:r>
            <w:instrText xml:space="preserve"> PAGEREF _Toc19129 \h </w:instrText>
          </w:r>
          <w:r>
            <w:fldChar w:fldCharType="separate"/>
          </w:r>
          <w:r>
            <w:t>59</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_Toc18101 </w:instrText>
          </w:r>
          <w:r>
            <w:rPr>
              <w:bCs/>
              <w:highlight w:val="none"/>
              <w:lang w:val="zh-CN"/>
            </w:rPr>
            <w:fldChar w:fldCharType="separate"/>
          </w:r>
          <w:r>
            <w:rPr>
              <w:rFonts w:hint="eastAsia" w:ascii="宋体" w:hAnsi="宋体" w:eastAsia="宋体" w:cs="宋体"/>
              <w:i w:val="0"/>
              <w:szCs w:val="30"/>
              <w:lang w:val="en-US" w:eastAsia="zh-CN"/>
            </w:rPr>
            <w:t xml:space="preserve">3.13.2. </w:t>
          </w:r>
          <w:r>
            <w:rPr>
              <w:rFonts w:hint="eastAsia" w:ascii="宋体" w:hAnsi="宋体" w:cs="宋体"/>
              <w:szCs w:val="20"/>
              <w:highlight w:val="none"/>
              <w:lang w:val="en-US" w:eastAsia="zh-CN"/>
            </w:rPr>
            <w:t>天花吊顶</w:t>
          </w:r>
          <w:r>
            <w:tab/>
          </w:r>
          <w:r>
            <w:fldChar w:fldCharType="begin"/>
          </w:r>
          <w:r>
            <w:instrText xml:space="preserve"> PAGEREF _Toc18101 \h </w:instrText>
          </w:r>
          <w:r>
            <w:fldChar w:fldCharType="separate"/>
          </w:r>
          <w:r>
            <w:t>60</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_Toc9933 </w:instrText>
          </w:r>
          <w:r>
            <w:rPr>
              <w:bCs/>
              <w:highlight w:val="none"/>
              <w:lang w:val="zh-CN"/>
            </w:rPr>
            <w:fldChar w:fldCharType="separate"/>
          </w:r>
          <w:r>
            <w:rPr>
              <w:rFonts w:hint="eastAsia" w:ascii="宋体" w:hAnsi="宋体" w:eastAsia="宋体" w:cs="宋体"/>
              <w:i w:val="0"/>
              <w:szCs w:val="30"/>
              <w:lang w:val="en-US" w:eastAsia="zh-CN"/>
            </w:rPr>
            <w:t xml:space="preserve">3.13.3. </w:t>
          </w:r>
          <w:r>
            <w:rPr>
              <w:rFonts w:hint="eastAsia" w:ascii="宋体" w:hAnsi="宋体" w:cs="宋体"/>
              <w:szCs w:val="20"/>
              <w:highlight w:val="none"/>
              <w:lang w:val="en-US" w:eastAsia="zh-CN"/>
            </w:rPr>
            <w:t>照明系统</w:t>
          </w:r>
          <w:r>
            <w:tab/>
          </w:r>
          <w:r>
            <w:fldChar w:fldCharType="begin"/>
          </w:r>
          <w:r>
            <w:instrText xml:space="preserve"> PAGEREF _Toc9933 \h </w:instrText>
          </w:r>
          <w:r>
            <w:fldChar w:fldCharType="separate"/>
          </w:r>
          <w:r>
            <w:t>62</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_Toc12944 </w:instrText>
          </w:r>
          <w:r>
            <w:rPr>
              <w:bCs/>
              <w:highlight w:val="none"/>
              <w:lang w:val="zh-CN"/>
            </w:rPr>
            <w:fldChar w:fldCharType="separate"/>
          </w:r>
          <w:r>
            <w:rPr>
              <w:rFonts w:hint="eastAsia" w:ascii="宋体" w:hAnsi="宋体" w:eastAsia="宋体" w:cs="宋体"/>
              <w:i w:val="0"/>
              <w:szCs w:val="30"/>
              <w:lang w:val="en-US" w:eastAsia="zh-CN"/>
            </w:rPr>
            <w:t xml:space="preserve">3.13.4. </w:t>
          </w:r>
          <w:r>
            <w:rPr>
              <w:rFonts w:hint="eastAsia" w:ascii="宋体" w:hAnsi="宋体" w:cs="宋体"/>
              <w:szCs w:val="20"/>
              <w:highlight w:val="none"/>
              <w:lang w:val="en-US" w:eastAsia="zh-CN"/>
            </w:rPr>
            <w:t>配电系统</w:t>
          </w:r>
          <w:r>
            <w:tab/>
          </w:r>
          <w:r>
            <w:fldChar w:fldCharType="begin"/>
          </w:r>
          <w:r>
            <w:instrText xml:space="preserve"> PAGEREF _Toc12944 \h </w:instrText>
          </w:r>
          <w:r>
            <w:fldChar w:fldCharType="separate"/>
          </w:r>
          <w:r>
            <w:t>63</w:t>
          </w:r>
          <w:r>
            <w:fldChar w:fldCharType="end"/>
          </w:r>
          <w:r>
            <w:rPr>
              <w:bCs/>
              <w:highlight w:val="none"/>
              <w:lang w:val="zh-CN"/>
            </w:rPr>
            <w:fldChar w:fldCharType="end"/>
          </w:r>
        </w:p>
        <w:p>
          <w:pPr>
            <w:pStyle w:val="22"/>
            <w:tabs>
              <w:tab w:val="right" w:leader="dot" w:pos="8312"/>
            </w:tabs>
          </w:pPr>
          <w:r>
            <w:rPr>
              <w:bCs/>
              <w:highlight w:val="none"/>
              <w:lang w:val="zh-CN"/>
            </w:rPr>
            <w:fldChar w:fldCharType="begin"/>
          </w:r>
          <w:r>
            <w:rPr>
              <w:bCs/>
              <w:highlight w:val="none"/>
              <w:lang w:val="zh-CN"/>
            </w:rPr>
            <w:instrText xml:space="preserve"> HYPERLINK \l _Toc21141 </w:instrText>
          </w:r>
          <w:r>
            <w:rPr>
              <w:bCs/>
              <w:highlight w:val="none"/>
              <w:lang w:val="zh-CN"/>
            </w:rPr>
            <w:fldChar w:fldCharType="separate"/>
          </w:r>
          <w:r>
            <w:rPr>
              <w:rFonts w:hint="eastAsia" w:eastAsia="宋体"/>
              <w:i w:val="0"/>
              <w:szCs w:val="44"/>
            </w:rPr>
            <w:t xml:space="preserve">第4章. </w:t>
          </w:r>
          <w:r>
            <w:rPr>
              <w:rFonts w:hint="eastAsia"/>
              <w:highlight w:val="none"/>
            </w:rPr>
            <w:t>培训及维护</w:t>
          </w:r>
          <w:r>
            <w:tab/>
          </w:r>
          <w:r>
            <w:fldChar w:fldCharType="begin"/>
          </w:r>
          <w:r>
            <w:instrText xml:space="preserve"> PAGEREF _Toc21141 \h </w:instrText>
          </w:r>
          <w:r>
            <w:fldChar w:fldCharType="separate"/>
          </w:r>
          <w:r>
            <w:t>65</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_Toc4682 </w:instrText>
          </w:r>
          <w:r>
            <w:rPr>
              <w:bCs/>
              <w:highlight w:val="none"/>
              <w:lang w:val="zh-CN"/>
            </w:rPr>
            <w:fldChar w:fldCharType="separate"/>
          </w:r>
          <w:r>
            <w:rPr>
              <w:rFonts w:hint="eastAsia" w:ascii="宋体" w:hAnsi="宋体" w:eastAsia="宋体"/>
              <w:i w:val="0"/>
              <w:szCs w:val="32"/>
            </w:rPr>
            <w:t xml:space="preserve">4.1. </w:t>
          </w:r>
          <w:r>
            <w:rPr>
              <w:rFonts w:hint="eastAsia"/>
              <w:highlight w:val="none"/>
            </w:rPr>
            <w:t>应用培训计划</w:t>
          </w:r>
          <w:r>
            <w:tab/>
          </w:r>
          <w:r>
            <w:fldChar w:fldCharType="begin"/>
          </w:r>
          <w:r>
            <w:instrText xml:space="preserve"> PAGEREF _Toc4682 \h </w:instrText>
          </w:r>
          <w:r>
            <w:fldChar w:fldCharType="separate"/>
          </w:r>
          <w:r>
            <w:t>65</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_Toc30414 </w:instrText>
          </w:r>
          <w:r>
            <w:rPr>
              <w:bCs/>
              <w:highlight w:val="none"/>
              <w:lang w:val="zh-CN"/>
            </w:rPr>
            <w:fldChar w:fldCharType="separate"/>
          </w:r>
          <w:r>
            <w:rPr>
              <w:rFonts w:hint="eastAsia" w:ascii="宋体" w:hAnsi="宋体" w:eastAsia="宋体"/>
              <w:i w:val="0"/>
              <w:szCs w:val="30"/>
            </w:rPr>
            <w:t xml:space="preserve">4.1.1. </w:t>
          </w:r>
          <w:r>
            <w:rPr>
              <w:rFonts w:hint="eastAsia"/>
              <w:highlight w:val="none"/>
            </w:rPr>
            <w:t>培训目标及效果</w:t>
          </w:r>
          <w:r>
            <w:tab/>
          </w:r>
          <w:r>
            <w:fldChar w:fldCharType="begin"/>
          </w:r>
          <w:r>
            <w:instrText xml:space="preserve"> PAGEREF _Toc30414 \h </w:instrText>
          </w:r>
          <w:r>
            <w:fldChar w:fldCharType="separate"/>
          </w:r>
          <w:r>
            <w:t>65</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_Toc5512 </w:instrText>
          </w:r>
          <w:r>
            <w:rPr>
              <w:bCs/>
              <w:highlight w:val="none"/>
              <w:lang w:val="zh-CN"/>
            </w:rPr>
            <w:fldChar w:fldCharType="separate"/>
          </w:r>
          <w:r>
            <w:rPr>
              <w:rFonts w:hint="eastAsia" w:ascii="宋体" w:hAnsi="宋体" w:eastAsia="宋体"/>
              <w:i w:val="0"/>
              <w:szCs w:val="30"/>
            </w:rPr>
            <w:t xml:space="preserve">4.1.2. </w:t>
          </w:r>
          <w:r>
            <w:rPr>
              <w:highlight w:val="none"/>
            </w:rPr>
            <w:t>培训方式</w:t>
          </w:r>
          <w:r>
            <w:tab/>
          </w:r>
          <w:r>
            <w:fldChar w:fldCharType="begin"/>
          </w:r>
          <w:r>
            <w:instrText xml:space="preserve"> PAGEREF _Toc5512 \h </w:instrText>
          </w:r>
          <w:r>
            <w:fldChar w:fldCharType="separate"/>
          </w:r>
          <w:r>
            <w:t>65</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_Toc28413 </w:instrText>
          </w:r>
          <w:r>
            <w:rPr>
              <w:bCs/>
              <w:highlight w:val="none"/>
              <w:lang w:val="zh-CN"/>
            </w:rPr>
            <w:fldChar w:fldCharType="separate"/>
          </w:r>
          <w:r>
            <w:rPr>
              <w:rFonts w:hint="eastAsia" w:ascii="宋体" w:hAnsi="宋体" w:eastAsia="宋体"/>
              <w:i w:val="0"/>
              <w:szCs w:val="30"/>
            </w:rPr>
            <w:t xml:space="preserve">4.1.3. </w:t>
          </w:r>
          <w:r>
            <w:rPr>
              <w:rFonts w:hint="eastAsia"/>
              <w:highlight w:val="none"/>
            </w:rPr>
            <w:t>培训内容</w:t>
          </w:r>
          <w:r>
            <w:tab/>
          </w:r>
          <w:r>
            <w:fldChar w:fldCharType="begin"/>
          </w:r>
          <w:r>
            <w:instrText xml:space="preserve"> PAGEREF _Toc28413 \h </w:instrText>
          </w:r>
          <w:r>
            <w:fldChar w:fldCharType="separate"/>
          </w:r>
          <w:r>
            <w:t>65</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_Toc12896 </w:instrText>
          </w:r>
          <w:r>
            <w:rPr>
              <w:bCs/>
              <w:highlight w:val="none"/>
              <w:lang w:val="zh-CN"/>
            </w:rPr>
            <w:fldChar w:fldCharType="separate"/>
          </w:r>
          <w:r>
            <w:rPr>
              <w:rFonts w:hint="eastAsia" w:ascii="宋体" w:hAnsi="宋体" w:eastAsia="宋体"/>
              <w:i w:val="0"/>
              <w:szCs w:val="32"/>
            </w:rPr>
            <w:t xml:space="preserve">4.2. </w:t>
          </w:r>
          <w:r>
            <w:rPr>
              <w:rFonts w:hint="eastAsia"/>
              <w:highlight w:val="none"/>
            </w:rPr>
            <w:t>运行测试方案</w:t>
          </w:r>
          <w:r>
            <w:tab/>
          </w:r>
          <w:r>
            <w:fldChar w:fldCharType="begin"/>
          </w:r>
          <w:r>
            <w:instrText xml:space="preserve"> PAGEREF _Toc12896 \h </w:instrText>
          </w:r>
          <w:r>
            <w:fldChar w:fldCharType="separate"/>
          </w:r>
          <w:r>
            <w:t>66</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_Toc26335 </w:instrText>
          </w:r>
          <w:r>
            <w:rPr>
              <w:bCs/>
              <w:highlight w:val="none"/>
              <w:lang w:val="zh-CN"/>
            </w:rPr>
            <w:fldChar w:fldCharType="separate"/>
          </w:r>
          <w:r>
            <w:rPr>
              <w:rFonts w:hint="eastAsia" w:ascii="宋体" w:hAnsi="宋体" w:eastAsia="宋体"/>
              <w:i w:val="0"/>
              <w:szCs w:val="30"/>
            </w:rPr>
            <w:t xml:space="preserve">4.2.1. </w:t>
          </w:r>
          <w:r>
            <w:rPr>
              <w:rFonts w:hint="eastAsia"/>
              <w:highlight w:val="none"/>
            </w:rPr>
            <w:t>试运行要求</w:t>
          </w:r>
          <w:r>
            <w:tab/>
          </w:r>
          <w:r>
            <w:fldChar w:fldCharType="begin"/>
          </w:r>
          <w:r>
            <w:instrText xml:space="preserve"> PAGEREF _Toc26335 \h </w:instrText>
          </w:r>
          <w:r>
            <w:fldChar w:fldCharType="separate"/>
          </w:r>
          <w:r>
            <w:t>66</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_Toc17308 </w:instrText>
          </w:r>
          <w:r>
            <w:rPr>
              <w:bCs/>
              <w:highlight w:val="none"/>
              <w:lang w:val="zh-CN"/>
            </w:rPr>
            <w:fldChar w:fldCharType="separate"/>
          </w:r>
          <w:r>
            <w:rPr>
              <w:rFonts w:hint="eastAsia" w:ascii="宋体" w:hAnsi="宋体" w:eastAsia="宋体"/>
              <w:i w:val="0"/>
              <w:szCs w:val="30"/>
            </w:rPr>
            <w:t xml:space="preserve">4.2.2. </w:t>
          </w:r>
          <w:r>
            <w:rPr>
              <w:rFonts w:hint="eastAsia"/>
              <w:highlight w:val="none"/>
            </w:rPr>
            <w:t>试运行步骤</w:t>
          </w:r>
          <w:r>
            <w:tab/>
          </w:r>
          <w:r>
            <w:fldChar w:fldCharType="begin"/>
          </w:r>
          <w:r>
            <w:instrText xml:space="preserve"> PAGEREF _Toc17308 \h </w:instrText>
          </w:r>
          <w:r>
            <w:fldChar w:fldCharType="separate"/>
          </w:r>
          <w:r>
            <w:t>67</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_Toc7212 </w:instrText>
          </w:r>
          <w:r>
            <w:rPr>
              <w:bCs/>
              <w:highlight w:val="none"/>
              <w:lang w:val="zh-CN"/>
            </w:rPr>
            <w:fldChar w:fldCharType="separate"/>
          </w:r>
          <w:r>
            <w:rPr>
              <w:rFonts w:hint="eastAsia" w:ascii="宋体" w:hAnsi="宋体" w:eastAsia="宋体"/>
              <w:i w:val="0"/>
              <w:szCs w:val="32"/>
            </w:rPr>
            <w:t xml:space="preserve">4.3. </w:t>
          </w:r>
          <w:r>
            <w:rPr>
              <w:rFonts w:hint="eastAsia"/>
              <w:highlight w:val="none"/>
            </w:rPr>
            <w:t>系统维护方案</w:t>
          </w:r>
          <w:r>
            <w:tab/>
          </w:r>
          <w:r>
            <w:fldChar w:fldCharType="begin"/>
          </w:r>
          <w:r>
            <w:instrText xml:space="preserve"> PAGEREF _Toc7212 \h </w:instrText>
          </w:r>
          <w:r>
            <w:fldChar w:fldCharType="separate"/>
          </w:r>
          <w:r>
            <w:t>68</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_Toc28121 </w:instrText>
          </w:r>
          <w:r>
            <w:rPr>
              <w:bCs/>
              <w:highlight w:val="none"/>
              <w:lang w:val="zh-CN"/>
            </w:rPr>
            <w:fldChar w:fldCharType="separate"/>
          </w:r>
          <w:r>
            <w:rPr>
              <w:rFonts w:hint="eastAsia" w:ascii="宋体" w:hAnsi="宋体" w:eastAsia="宋体"/>
              <w:i w:val="0"/>
              <w:szCs w:val="30"/>
            </w:rPr>
            <w:t xml:space="preserve">4.3.1. </w:t>
          </w:r>
          <w:r>
            <w:rPr>
              <w:rFonts w:hint="eastAsia"/>
              <w:highlight w:val="none"/>
            </w:rPr>
            <w:t>运维</w:t>
          </w:r>
          <w:r>
            <w:rPr>
              <w:highlight w:val="none"/>
            </w:rPr>
            <w:t>服务时间</w:t>
          </w:r>
          <w:r>
            <w:tab/>
          </w:r>
          <w:r>
            <w:fldChar w:fldCharType="begin"/>
          </w:r>
          <w:r>
            <w:instrText xml:space="preserve"> PAGEREF _Toc28121 \h </w:instrText>
          </w:r>
          <w:r>
            <w:fldChar w:fldCharType="separate"/>
          </w:r>
          <w:r>
            <w:t>68</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_Toc12199 </w:instrText>
          </w:r>
          <w:r>
            <w:rPr>
              <w:bCs/>
              <w:highlight w:val="none"/>
              <w:lang w:val="zh-CN"/>
            </w:rPr>
            <w:fldChar w:fldCharType="separate"/>
          </w:r>
          <w:r>
            <w:rPr>
              <w:rFonts w:hint="eastAsia" w:ascii="宋体" w:hAnsi="宋体" w:eastAsia="宋体"/>
              <w:i w:val="0"/>
              <w:szCs w:val="30"/>
            </w:rPr>
            <w:t xml:space="preserve">4.3.2. </w:t>
          </w:r>
          <w:r>
            <w:rPr>
              <w:rFonts w:hint="eastAsia"/>
              <w:highlight w:val="none"/>
            </w:rPr>
            <w:t>运维</w:t>
          </w:r>
          <w:r>
            <w:rPr>
              <w:highlight w:val="none"/>
            </w:rPr>
            <w:t>服务</w:t>
          </w:r>
          <w:r>
            <w:rPr>
              <w:rFonts w:hint="eastAsia"/>
              <w:highlight w:val="none"/>
            </w:rPr>
            <w:t>范围</w:t>
          </w:r>
          <w:r>
            <w:tab/>
          </w:r>
          <w:r>
            <w:fldChar w:fldCharType="begin"/>
          </w:r>
          <w:r>
            <w:instrText xml:space="preserve"> PAGEREF _Toc12199 \h </w:instrText>
          </w:r>
          <w:r>
            <w:fldChar w:fldCharType="separate"/>
          </w:r>
          <w:r>
            <w:t>68</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_Toc10983 </w:instrText>
          </w:r>
          <w:r>
            <w:rPr>
              <w:bCs/>
              <w:highlight w:val="none"/>
              <w:lang w:val="zh-CN"/>
            </w:rPr>
            <w:fldChar w:fldCharType="separate"/>
          </w:r>
          <w:r>
            <w:rPr>
              <w:rFonts w:hint="eastAsia" w:ascii="宋体" w:hAnsi="宋体" w:eastAsia="宋体"/>
              <w:i w:val="0"/>
              <w:szCs w:val="30"/>
            </w:rPr>
            <w:t xml:space="preserve">4.3.3. </w:t>
          </w:r>
          <w:r>
            <w:rPr>
              <w:rFonts w:hint="eastAsia"/>
              <w:highlight w:val="none"/>
            </w:rPr>
            <w:t>运维内容和</w:t>
          </w:r>
          <w:r>
            <w:rPr>
              <w:highlight w:val="none"/>
            </w:rPr>
            <w:t>方式</w:t>
          </w:r>
          <w:r>
            <w:tab/>
          </w:r>
          <w:r>
            <w:fldChar w:fldCharType="begin"/>
          </w:r>
          <w:r>
            <w:instrText xml:space="preserve"> PAGEREF _Toc10983 \h </w:instrText>
          </w:r>
          <w:r>
            <w:fldChar w:fldCharType="separate"/>
          </w:r>
          <w:r>
            <w:t>68</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_Toc1949 </w:instrText>
          </w:r>
          <w:r>
            <w:rPr>
              <w:bCs/>
              <w:highlight w:val="none"/>
              <w:lang w:val="zh-CN"/>
            </w:rPr>
            <w:fldChar w:fldCharType="separate"/>
          </w:r>
          <w:r>
            <w:rPr>
              <w:rFonts w:hint="eastAsia" w:ascii="宋体" w:hAnsi="宋体" w:eastAsia="宋体"/>
              <w:i w:val="0"/>
              <w:szCs w:val="30"/>
            </w:rPr>
            <w:t xml:space="preserve">4.3.4. </w:t>
          </w:r>
          <w:r>
            <w:rPr>
              <w:rFonts w:hint="eastAsia"/>
              <w:highlight w:val="none"/>
            </w:rPr>
            <w:t>响应时间</w:t>
          </w:r>
          <w:r>
            <w:tab/>
          </w:r>
          <w:r>
            <w:fldChar w:fldCharType="begin"/>
          </w:r>
          <w:r>
            <w:instrText xml:space="preserve"> PAGEREF _Toc1949 \h </w:instrText>
          </w:r>
          <w:r>
            <w:fldChar w:fldCharType="separate"/>
          </w:r>
          <w:r>
            <w:t>68</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_Toc5327 </w:instrText>
          </w:r>
          <w:r>
            <w:rPr>
              <w:bCs/>
              <w:highlight w:val="none"/>
              <w:lang w:val="zh-CN"/>
            </w:rPr>
            <w:fldChar w:fldCharType="separate"/>
          </w:r>
          <w:r>
            <w:rPr>
              <w:rFonts w:hint="eastAsia" w:ascii="宋体" w:hAnsi="宋体" w:eastAsia="宋体"/>
              <w:i w:val="0"/>
              <w:szCs w:val="30"/>
            </w:rPr>
            <w:t xml:space="preserve">4.3.5. </w:t>
          </w:r>
          <w:r>
            <w:rPr>
              <w:rFonts w:hint="eastAsia"/>
              <w:highlight w:val="none"/>
            </w:rPr>
            <w:t>运维的保障机制</w:t>
          </w:r>
          <w:r>
            <w:tab/>
          </w:r>
          <w:r>
            <w:fldChar w:fldCharType="begin"/>
          </w:r>
          <w:r>
            <w:instrText xml:space="preserve"> PAGEREF _Toc5327 \h </w:instrText>
          </w:r>
          <w:r>
            <w:fldChar w:fldCharType="separate"/>
          </w:r>
          <w:r>
            <w:t>69</w:t>
          </w:r>
          <w:r>
            <w:fldChar w:fldCharType="end"/>
          </w:r>
          <w:r>
            <w:rPr>
              <w:bCs/>
              <w:highlight w:val="none"/>
              <w:lang w:val="zh-CN"/>
            </w:rPr>
            <w:fldChar w:fldCharType="end"/>
          </w:r>
        </w:p>
        <w:p>
          <w:pPr>
            <w:pStyle w:val="22"/>
            <w:tabs>
              <w:tab w:val="right" w:leader="dot" w:pos="8312"/>
            </w:tabs>
          </w:pPr>
          <w:r>
            <w:rPr>
              <w:bCs/>
              <w:highlight w:val="none"/>
              <w:lang w:val="zh-CN"/>
            </w:rPr>
            <w:fldChar w:fldCharType="begin"/>
          </w:r>
          <w:r>
            <w:rPr>
              <w:bCs/>
              <w:highlight w:val="none"/>
              <w:lang w:val="zh-CN"/>
            </w:rPr>
            <w:instrText xml:space="preserve"> HYPERLINK \l _Toc5931 </w:instrText>
          </w:r>
          <w:r>
            <w:rPr>
              <w:bCs/>
              <w:highlight w:val="none"/>
              <w:lang w:val="zh-CN"/>
            </w:rPr>
            <w:fldChar w:fldCharType="separate"/>
          </w:r>
          <w:r>
            <w:rPr>
              <w:rFonts w:hint="eastAsia" w:eastAsia="宋体"/>
              <w:i w:val="0"/>
              <w:szCs w:val="44"/>
            </w:rPr>
            <w:t xml:space="preserve">第5章. </w:t>
          </w:r>
          <w:r>
            <w:rPr>
              <w:rFonts w:hint="eastAsia"/>
              <w:highlight w:val="none"/>
            </w:rPr>
            <w:t>项目管理</w:t>
          </w:r>
          <w:r>
            <w:tab/>
          </w:r>
          <w:r>
            <w:fldChar w:fldCharType="begin"/>
          </w:r>
          <w:r>
            <w:instrText xml:space="preserve"> PAGEREF _Toc5931 \h </w:instrText>
          </w:r>
          <w:r>
            <w:fldChar w:fldCharType="separate"/>
          </w:r>
          <w:r>
            <w:t>70</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_Toc5741 </w:instrText>
          </w:r>
          <w:r>
            <w:rPr>
              <w:bCs/>
              <w:highlight w:val="none"/>
              <w:lang w:val="zh-CN"/>
            </w:rPr>
            <w:fldChar w:fldCharType="separate"/>
          </w:r>
          <w:r>
            <w:rPr>
              <w:rFonts w:hint="eastAsia" w:ascii="宋体" w:hAnsi="宋体" w:eastAsia="宋体"/>
              <w:i w:val="0"/>
              <w:szCs w:val="32"/>
            </w:rPr>
            <w:t xml:space="preserve">5.1. </w:t>
          </w:r>
          <w:r>
            <w:rPr>
              <w:rFonts w:hint="eastAsia"/>
              <w:highlight w:val="none"/>
            </w:rPr>
            <w:t>项目组织管理</w:t>
          </w:r>
          <w:r>
            <w:tab/>
          </w:r>
          <w:r>
            <w:fldChar w:fldCharType="begin"/>
          </w:r>
          <w:r>
            <w:instrText xml:space="preserve"> PAGEREF _Toc5741 \h </w:instrText>
          </w:r>
          <w:r>
            <w:fldChar w:fldCharType="separate"/>
          </w:r>
          <w:r>
            <w:t>70</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_Toc14613 </w:instrText>
          </w:r>
          <w:r>
            <w:rPr>
              <w:bCs/>
              <w:highlight w:val="none"/>
              <w:lang w:val="zh-CN"/>
            </w:rPr>
            <w:fldChar w:fldCharType="separate"/>
          </w:r>
          <w:r>
            <w:rPr>
              <w:rFonts w:hint="eastAsia" w:ascii="宋体" w:hAnsi="宋体" w:eastAsia="宋体"/>
              <w:i w:val="0"/>
              <w:szCs w:val="30"/>
            </w:rPr>
            <w:t xml:space="preserve">5.1.1. </w:t>
          </w:r>
          <w:r>
            <w:rPr>
              <w:rFonts w:hint="eastAsia"/>
              <w:highlight w:val="none"/>
            </w:rPr>
            <w:t>管理机构</w:t>
          </w:r>
          <w:r>
            <w:tab/>
          </w:r>
          <w:r>
            <w:fldChar w:fldCharType="begin"/>
          </w:r>
          <w:r>
            <w:instrText xml:space="preserve"> PAGEREF _Toc14613 \h </w:instrText>
          </w:r>
          <w:r>
            <w:fldChar w:fldCharType="separate"/>
          </w:r>
          <w:r>
            <w:t>70</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_Toc5509 </w:instrText>
          </w:r>
          <w:r>
            <w:rPr>
              <w:bCs/>
              <w:highlight w:val="none"/>
              <w:lang w:val="zh-CN"/>
            </w:rPr>
            <w:fldChar w:fldCharType="separate"/>
          </w:r>
          <w:r>
            <w:rPr>
              <w:rFonts w:hint="eastAsia" w:ascii="宋体" w:hAnsi="宋体" w:eastAsia="宋体"/>
              <w:i w:val="0"/>
              <w:szCs w:val="32"/>
            </w:rPr>
            <w:t xml:space="preserve">5.2. </w:t>
          </w:r>
          <w:r>
            <w:rPr>
              <w:rFonts w:hint="eastAsia"/>
              <w:highlight w:val="none"/>
            </w:rPr>
            <w:t>质量管理</w:t>
          </w:r>
          <w:r>
            <w:tab/>
          </w:r>
          <w:r>
            <w:fldChar w:fldCharType="begin"/>
          </w:r>
          <w:r>
            <w:instrText xml:space="preserve"> PAGEREF _Toc5509 \h </w:instrText>
          </w:r>
          <w:r>
            <w:fldChar w:fldCharType="separate"/>
          </w:r>
          <w:r>
            <w:t>70</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_Toc495 </w:instrText>
          </w:r>
          <w:r>
            <w:rPr>
              <w:bCs/>
              <w:highlight w:val="none"/>
              <w:lang w:val="zh-CN"/>
            </w:rPr>
            <w:fldChar w:fldCharType="separate"/>
          </w:r>
          <w:r>
            <w:rPr>
              <w:rFonts w:hint="eastAsia" w:ascii="宋体" w:hAnsi="宋体" w:eastAsia="宋体"/>
              <w:i w:val="0"/>
              <w:szCs w:val="30"/>
            </w:rPr>
            <w:t xml:space="preserve">5.2.1. </w:t>
          </w:r>
          <w:r>
            <w:rPr>
              <w:highlight w:val="none"/>
            </w:rPr>
            <w:t>质量管理</w:t>
          </w:r>
          <w:r>
            <w:tab/>
          </w:r>
          <w:r>
            <w:fldChar w:fldCharType="begin"/>
          </w:r>
          <w:r>
            <w:instrText xml:space="preserve"> PAGEREF _Toc495 \h </w:instrText>
          </w:r>
          <w:r>
            <w:fldChar w:fldCharType="separate"/>
          </w:r>
          <w:r>
            <w:t>70</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_Toc2735 </w:instrText>
          </w:r>
          <w:r>
            <w:rPr>
              <w:bCs/>
              <w:highlight w:val="none"/>
              <w:lang w:val="zh-CN"/>
            </w:rPr>
            <w:fldChar w:fldCharType="separate"/>
          </w:r>
          <w:r>
            <w:rPr>
              <w:rFonts w:hint="eastAsia" w:ascii="宋体" w:hAnsi="宋体" w:eastAsia="宋体"/>
              <w:i w:val="0"/>
              <w:szCs w:val="30"/>
            </w:rPr>
            <w:t xml:space="preserve">5.2.2. </w:t>
          </w:r>
          <w:r>
            <w:rPr>
              <w:highlight w:val="none"/>
            </w:rPr>
            <w:t>质量保证</w:t>
          </w:r>
          <w:r>
            <w:tab/>
          </w:r>
          <w:r>
            <w:fldChar w:fldCharType="begin"/>
          </w:r>
          <w:r>
            <w:instrText xml:space="preserve"> PAGEREF _Toc2735 \h </w:instrText>
          </w:r>
          <w:r>
            <w:fldChar w:fldCharType="separate"/>
          </w:r>
          <w:r>
            <w:t>72</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_Toc19683 </w:instrText>
          </w:r>
          <w:r>
            <w:rPr>
              <w:bCs/>
              <w:highlight w:val="none"/>
              <w:lang w:val="zh-CN"/>
            </w:rPr>
            <w:fldChar w:fldCharType="separate"/>
          </w:r>
          <w:r>
            <w:rPr>
              <w:rFonts w:hint="eastAsia" w:ascii="宋体" w:hAnsi="宋体" w:eastAsia="宋体"/>
              <w:i w:val="0"/>
              <w:szCs w:val="32"/>
            </w:rPr>
            <w:t xml:space="preserve">5.3. </w:t>
          </w:r>
          <w:r>
            <w:rPr>
              <w:rFonts w:hint="eastAsia"/>
              <w:highlight w:val="none"/>
            </w:rPr>
            <w:t>工期及进度管理</w:t>
          </w:r>
          <w:r>
            <w:tab/>
          </w:r>
          <w:r>
            <w:fldChar w:fldCharType="begin"/>
          </w:r>
          <w:r>
            <w:instrText xml:space="preserve"> PAGEREF _Toc19683 \h </w:instrText>
          </w:r>
          <w:r>
            <w:fldChar w:fldCharType="separate"/>
          </w:r>
          <w:r>
            <w:t>73</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_Toc23965 </w:instrText>
          </w:r>
          <w:r>
            <w:rPr>
              <w:bCs/>
              <w:highlight w:val="none"/>
              <w:lang w:val="zh-CN"/>
            </w:rPr>
            <w:fldChar w:fldCharType="separate"/>
          </w:r>
          <w:r>
            <w:rPr>
              <w:rFonts w:hint="eastAsia" w:ascii="宋体" w:hAnsi="宋体" w:eastAsia="宋体"/>
              <w:i w:val="0"/>
              <w:szCs w:val="30"/>
            </w:rPr>
            <w:t xml:space="preserve">5.3.1. </w:t>
          </w:r>
          <w:r>
            <w:rPr>
              <w:highlight w:val="none"/>
            </w:rPr>
            <w:t>建设工期</w:t>
          </w:r>
          <w:r>
            <w:tab/>
          </w:r>
          <w:r>
            <w:fldChar w:fldCharType="begin"/>
          </w:r>
          <w:r>
            <w:instrText xml:space="preserve"> PAGEREF _Toc23965 \h </w:instrText>
          </w:r>
          <w:r>
            <w:fldChar w:fldCharType="separate"/>
          </w:r>
          <w:r>
            <w:t>73</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_Toc8030 </w:instrText>
          </w:r>
          <w:r>
            <w:rPr>
              <w:bCs/>
              <w:highlight w:val="none"/>
              <w:lang w:val="zh-CN"/>
            </w:rPr>
            <w:fldChar w:fldCharType="separate"/>
          </w:r>
          <w:r>
            <w:rPr>
              <w:rFonts w:hint="eastAsia" w:ascii="宋体" w:hAnsi="宋体" w:eastAsia="宋体"/>
              <w:i w:val="0"/>
              <w:szCs w:val="30"/>
            </w:rPr>
            <w:t xml:space="preserve">5.3.2. </w:t>
          </w:r>
          <w:r>
            <w:rPr>
              <w:highlight w:val="none"/>
            </w:rPr>
            <w:t>进度管理</w:t>
          </w:r>
          <w:r>
            <w:tab/>
          </w:r>
          <w:r>
            <w:fldChar w:fldCharType="begin"/>
          </w:r>
          <w:r>
            <w:instrText xml:space="preserve"> PAGEREF _Toc8030 \h </w:instrText>
          </w:r>
          <w:r>
            <w:fldChar w:fldCharType="separate"/>
          </w:r>
          <w:r>
            <w:t>74</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_Toc20605 </w:instrText>
          </w:r>
          <w:r>
            <w:rPr>
              <w:bCs/>
              <w:highlight w:val="none"/>
              <w:lang w:val="zh-CN"/>
            </w:rPr>
            <w:fldChar w:fldCharType="separate"/>
          </w:r>
          <w:r>
            <w:rPr>
              <w:rFonts w:hint="eastAsia" w:ascii="宋体" w:hAnsi="宋体" w:eastAsia="宋体"/>
              <w:i w:val="0"/>
              <w:szCs w:val="32"/>
            </w:rPr>
            <w:t xml:space="preserve">5.4. </w:t>
          </w:r>
          <w:r>
            <w:rPr>
              <w:rFonts w:hint="eastAsia"/>
              <w:highlight w:val="none"/>
            </w:rPr>
            <w:t>安全管理</w:t>
          </w:r>
          <w:r>
            <w:tab/>
          </w:r>
          <w:r>
            <w:fldChar w:fldCharType="begin"/>
          </w:r>
          <w:r>
            <w:instrText xml:space="preserve"> PAGEREF _Toc20605 \h </w:instrText>
          </w:r>
          <w:r>
            <w:fldChar w:fldCharType="separate"/>
          </w:r>
          <w:r>
            <w:t>76</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_Toc9062 </w:instrText>
          </w:r>
          <w:r>
            <w:rPr>
              <w:bCs/>
              <w:highlight w:val="none"/>
              <w:lang w:val="zh-CN"/>
            </w:rPr>
            <w:fldChar w:fldCharType="separate"/>
          </w:r>
          <w:r>
            <w:rPr>
              <w:rFonts w:hint="eastAsia" w:ascii="宋体" w:hAnsi="宋体" w:eastAsia="宋体"/>
              <w:i w:val="0"/>
              <w:szCs w:val="32"/>
            </w:rPr>
            <w:t xml:space="preserve">5.5. </w:t>
          </w:r>
          <w:r>
            <w:rPr>
              <w:rFonts w:hint="eastAsia"/>
              <w:highlight w:val="none"/>
            </w:rPr>
            <w:t>施工要求</w:t>
          </w:r>
          <w:r>
            <w:tab/>
          </w:r>
          <w:r>
            <w:fldChar w:fldCharType="begin"/>
          </w:r>
          <w:r>
            <w:instrText xml:space="preserve"> PAGEREF _Toc9062 \h </w:instrText>
          </w:r>
          <w:r>
            <w:fldChar w:fldCharType="separate"/>
          </w:r>
          <w:r>
            <w:t>78</w:t>
          </w:r>
          <w:r>
            <w:fldChar w:fldCharType="end"/>
          </w:r>
          <w:r>
            <w:rPr>
              <w:bCs/>
              <w:highlight w:val="none"/>
              <w:lang w:val="zh-CN"/>
            </w:rPr>
            <w:fldChar w:fldCharType="end"/>
          </w:r>
        </w:p>
        <w:p>
          <w:pPr>
            <w:pStyle w:val="22"/>
            <w:tabs>
              <w:tab w:val="right" w:leader="dot" w:pos="8312"/>
            </w:tabs>
          </w:pPr>
          <w:r>
            <w:rPr>
              <w:bCs/>
              <w:highlight w:val="none"/>
              <w:lang w:val="zh-CN"/>
            </w:rPr>
            <w:fldChar w:fldCharType="begin"/>
          </w:r>
          <w:r>
            <w:rPr>
              <w:bCs/>
              <w:highlight w:val="none"/>
              <w:lang w:val="zh-CN"/>
            </w:rPr>
            <w:instrText xml:space="preserve"> HYPERLINK \l _Toc23435 </w:instrText>
          </w:r>
          <w:r>
            <w:rPr>
              <w:bCs/>
              <w:highlight w:val="none"/>
              <w:lang w:val="zh-CN"/>
            </w:rPr>
            <w:fldChar w:fldCharType="separate"/>
          </w:r>
          <w:r>
            <w:rPr>
              <w:rFonts w:hint="eastAsia" w:eastAsia="宋体"/>
              <w:i w:val="0"/>
              <w:szCs w:val="44"/>
            </w:rPr>
            <w:t xml:space="preserve">第6章. </w:t>
          </w:r>
          <w:r>
            <w:rPr>
              <w:rFonts w:hint="eastAsia"/>
              <w:highlight w:val="none"/>
            </w:rPr>
            <w:t>项目验收要求</w:t>
          </w:r>
          <w:r>
            <w:tab/>
          </w:r>
          <w:r>
            <w:fldChar w:fldCharType="begin"/>
          </w:r>
          <w:r>
            <w:instrText xml:space="preserve"> PAGEREF _Toc23435 \h </w:instrText>
          </w:r>
          <w:r>
            <w:fldChar w:fldCharType="separate"/>
          </w:r>
          <w:r>
            <w:t>79</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_Toc13676 </w:instrText>
          </w:r>
          <w:r>
            <w:rPr>
              <w:bCs/>
              <w:highlight w:val="none"/>
              <w:lang w:val="zh-CN"/>
            </w:rPr>
            <w:fldChar w:fldCharType="separate"/>
          </w:r>
          <w:r>
            <w:rPr>
              <w:rFonts w:hint="eastAsia" w:ascii="宋体" w:hAnsi="宋体" w:eastAsia="宋体"/>
              <w:i w:val="0"/>
              <w:szCs w:val="32"/>
            </w:rPr>
            <w:t xml:space="preserve">6.1. </w:t>
          </w:r>
          <w:r>
            <w:rPr>
              <w:rFonts w:hint="eastAsia"/>
              <w:highlight w:val="none"/>
            </w:rPr>
            <w:t>验收条件</w:t>
          </w:r>
          <w:r>
            <w:tab/>
          </w:r>
          <w:r>
            <w:fldChar w:fldCharType="begin"/>
          </w:r>
          <w:r>
            <w:instrText xml:space="preserve"> PAGEREF _Toc13676 \h </w:instrText>
          </w:r>
          <w:r>
            <w:fldChar w:fldCharType="separate"/>
          </w:r>
          <w:r>
            <w:t>79</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_Toc8716 </w:instrText>
          </w:r>
          <w:r>
            <w:rPr>
              <w:bCs/>
              <w:highlight w:val="none"/>
              <w:lang w:val="zh-CN"/>
            </w:rPr>
            <w:fldChar w:fldCharType="separate"/>
          </w:r>
          <w:r>
            <w:rPr>
              <w:rFonts w:hint="eastAsia" w:ascii="宋体" w:hAnsi="宋体" w:eastAsia="宋体"/>
              <w:i w:val="0"/>
              <w:szCs w:val="32"/>
            </w:rPr>
            <w:t xml:space="preserve">6.2. </w:t>
          </w:r>
          <w:r>
            <w:rPr>
              <w:rFonts w:hint="eastAsia"/>
              <w:highlight w:val="none"/>
            </w:rPr>
            <w:t>试运行要求</w:t>
          </w:r>
          <w:r>
            <w:tab/>
          </w:r>
          <w:r>
            <w:fldChar w:fldCharType="begin"/>
          </w:r>
          <w:r>
            <w:instrText xml:space="preserve"> PAGEREF _Toc8716 \h </w:instrText>
          </w:r>
          <w:r>
            <w:fldChar w:fldCharType="separate"/>
          </w:r>
          <w:r>
            <w:t>79</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_Toc10705 </w:instrText>
          </w:r>
          <w:r>
            <w:rPr>
              <w:bCs/>
              <w:highlight w:val="none"/>
              <w:lang w:val="zh-CN"/>
            </w:rPr>
            <w:fldChar w:fldCharType="separate"/>
          </w:r>
          <w:r>
            <w:rPr>
              <w:rFonts w:hint="eastAsia" w:ascii="宋体" w:hAnsi="宋体" w:eastAsia="宋体"/>
              <w:i w:val="0"/>
              <w:szCs w:val="32"/>
            </w:rPr>
            <w:t xml:space="preserve">6.3. </w:t>
          </w:r>
          <w:r>
            <w:rPr>
              <w:highlight w:val="none"/>
            </w:rPr>
            <w:t>验收方法</w:t>
          </w:r>
          <w:r>
            <w:tab/>
          </w:r>
          <w:r>
            <w:fldChar w:fldCharType="begin"/>
          </w:r>
          <w:r>
            <w:instrText xml:space="preserve"> PAGEREF _Toc10705 \h </w:instrText>
          </w:r>
          <w:r>
            <w:fldChar w:fldCharType="separate"/>
          </w:r>
          <w:r>
            <w:t>80</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_Toc13385 </w:instrText>
          </w:r>
          <w:r>
            <w:rPr>
              <w:bCs/>
              <w:highlight w:val="none"/>
              <w:lang w:val="zh-CN"/>
            </w:rPr>
            <w:fldChar w:fldCharType="separate"/>
          </w:r>
          <w:r>
            <w:rPr>
              <w:rFonts w:hint="eastAsia" w:ascii="宋体" w:hAnsi="宋体" w:eastAsia="宋体"/>
              <w:i w:val="0"/>
              <w:szCs w:val="32"/>
            </w:rPr>
            <w:t xml:space="preserve">6.4. </w:t>
          </w:r>
          <w:r>
            <w:rPr>
              <w:rFonts w:hint="eastAsia"/>
              <w:highlight w:val="none"/>
            </w:rPr>
            <w:t>验收流程</w:t>
          </w:r>
          <w:r>
            <w:tab/>
          </w:r>
          <w:r>
            <w:fldChar w:fldCharType="begin"/>
          </w:r>
          <w:r>
            <w:instrText xml:space="preserve"> PAGEREF _Toc13385 \h </w:instrText>
          </w:r>
          <w:r>
            <w:fldChar w:fldCharType="separate"/>
          </w:r>
          <w:r>
            <w:t>81</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_Toc20346 </w:instrText>
          </w:r>
          <w:r>
            <w:rPr>
              <w:bCs/>
              <w:highlight w:val="none"/>
              <w:lang w:val="zh-CN"/>
            </w:rPr>
            <w:fldChar w:fldCharType="separate"/>
          </w:r>
          <w:r>
            <w:rPr>
              <w:rFonts w:hint="eastAsia" w:ascii="宋体" w:hAnsi="宋体" w:eastAsia="宋体"/>
              <w:i w:val="0"/>
              <w:szCs w:val="32"/>
            </w:rPr>
            <w:t xml:space="preserve">6.5. </w:t>
          </w:r>
          <w:r>
            <w:rPr>
              <w:highlight w:val="none"/>
            </w:rPr>
            <w:t>验收依据</w:t>
          </w:r>
          <w:r>
            <w:tab/>
          </w:r>
          <w:r>
            <w:fldChar w:fldCharType="begin"/>
          </w:r>
          <w:r>
            <w:instrText xml:space="preserve"> PAGEREF _Toc20346 \h </w:instrText>
          </w:r>
          <w:r>
            <w:fldChar w:fldCharType="separate"/>
          </w:r>
          <w:r>
            <w:t>82</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_Toc11848 </w:instrText>
          </w:r>
          <w:r>
            <w:rPr>
              <w:bCs/>
              <w:highlight w:val="none"/>
              <w:lang w:val="zh-CN"/>
            </w:rPr>
            <w:fldChar w:fldCharType="separate"/>
          </w:r>
          <w:r>
            <w:rPr>
              <w:rFonts w:hint="eastAsia" w:ascii="宋体" w:hAnsi="宋体" w:eastAsia="宋体"/>
              <w:i w:val="0"/>
              <w:szCs w:val="32"/>
            </w:rPr>
            <w:t xml:space="preserve">6.6. </w:t>
          </w:r>
          <w:r>
            <w:rPr>
              <w:highlight w:val="none"/>
            </w:rPr>
            <w:t>验收内容和标准</w:t>
          </w:r>
          <w:r>
            <w:tab/>
          </w:r>
          <w:r>
            <w:fldChar w:fldCharType="begin"/>
          </w:r>
          <w:r>
            <w:instrText xml:space="preserve"> PAGEREF _Toc11848 \h </w:instrText>
          </w:r>
          <w:r>
            <w:fldChar w:fldCharType="separate"/>
          </w:r>
          <w:r>
            <w:t>83</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_Toc8235 </w:instrText>
          </w:r>
          <w:r>
            <w:rPr>
              <w:bCs/>
              <w:highlight w:val="none"/>
              <w:lang w:val="zh-CN"/>
            </w:rPr>
            <w:fldChar w:fldCharType="separate"/>
          </w:r>
          <w:r>
            <w:rPr>
              <w:rFonts w:hint="eastAsia" w:ascii="宋体" w:hAnsi="宋体" w:eastAsia="宋体"/>
              <w:i w:val="0"/>
              <w:szCs w:val="32"/>
            </w:rPr>
            <w:t xml:space="preserve">6.7. </w:t>
          </w:r>
          <w:r>
            <w:rPr>
              <w:highlight w:val="none"/>
            </w:rPr>
            <w:t>验收结论</w:t>
          </w:r>
          <w:r>
            <w:tab/>
          </w:r>
          <w:r>
            <w:fldChar w:fldCharType="begin"/>
          </w:r>
          <w:r>
            <w:instrText xml:space="preserve"> PAGEREF _Toc8235 \h </w:instrText>
          </w:r>
          <w:r>
            <w:fldChar w:fldCharType="separate"/>
          </w:r>
          <w:r>
            <w:t>84</w:t>
          </w:r>
          <w:r>
            <w:fldChar w:fldCharType="end"/>
          </w:r>
          <w:r>
            <w:rPr>
              <w:bCs/>
              <w:highlight w:val="none"/>
              <w:lang w:val="zh-CN"/>
            </w:rPr>
            <w:fldChar w:fldCharType="end"/>
          </w:r>
        </w:p>
        <w:p>
          <w:pPr>
            <w:pStyle w:val="22"/>
            <w:tabs>
              <w:tab w:val="right" w:leader="dot" w:pos="8312"/>
            </w:tabs>
          </w:pPr>
          <w:r>
            <w:rPr>
              <w:bCs/>
              <w:highlight w:val="none"/>
              <w:lang w:val="zh-CN"/>
            </w:rPr>
            <w:fldChar w:fldCharType="begin"/>
          </w:r>
          <w:r>
            <w:rPr>
              <w:bCs/>
              <w:highlight w:val="none"/>
              <w:lang w:val="zh-CN"/>
            </w:rPr>
            <w:instrText xml:space="preserve"> HYPERLINK \l _Toc332 </w:instrText>
          </w:r>
          <w:r>
            <w:rPr>
              <w:bCs/>
              <w:highlight w:val="none"/>
              <w:lang w:val="zh-CN"/>
            </w:rPr>
            <w:fldChar w:fldCharType="separate"/>
          </w:r>
          <w:r>
            <w:rPr>
              <w:rFonts w:hint="eastAsia" w:ascii="宋体" w:hAnsi="宋体" w:eastAsia="宋体" w:cs="宋体"/>
              <w:i w:val="0"/>
              <w:szCs w:val="44"/>
            </w:rPr>
            <w:t xml:space="preserve">第7章. </w:t>
          </w:r>
          <w:r>
            <w:rPr>
              <w:rFonts w:hint="eastAsia"/>
              <w:highlight w:val="none"/>
              <w:lang w:val="en-US" w:eastAsia="zh-CN"/>
            </w:rPr>
            <w:t>项目设计图纸</w:t>
          </w:r>
          <w:r>
            <w:tab/>
          </w:r>
          <w:r>
            <w:fldChar w:fldCharType="begin"/>
          </w:r>
          <w:r>
            <w:instrText xml:space="preserve"> PAGEREF _Toc332 \h </w:instrText>
          </w:r>
          <w:r>
            <w:fldChar w:fldCharType="separate"/>
          </w:r>
          <w:r>
            <w:t>85</w:t>
          </w:r>
          <w:r>
            <w:fldChar w:fldCharType="end"/>
          </w:r>
          <w:r>
            <w:rPr>
              <w:bCs/>
              <w:highlight w:val="none"/>
              <w:lang w:val="zh-CN"/>
            </w:rPr>
            <w:fldChar w:fldCharType="end"/>
          </w:r>
        </w:p>
        <w:p>
          <w:pPr>
            <w:pStyle w:val="22"/>
            <w:tabs>
              <w:tab w:val="right" w:leader="dot" w:pos="8312"/>
            </w:tabs>
          </w:pPr>
          <w:r>
            <w:rPr>
              <w:bCs/>
              <w:highlight w:val="none"/>
              <w:lang w:val="zh-CN"/>
            </w:rPr>
            <w:fldChar w:fldCharType="begin"/>
          </w:r>
          <w:r>
            <w:rPr>
              <w:bCs/>
              <w:highlight w:val="none"/>
              <w:lang w:val="zh-CN"/>
            </w:rPr>
            <w:instrText xml:space="preserve"> HYPERLINK \l _Toc21626 </w:instrText>
          </w:r>
          <w:r>
            <w:rPr>
              <w:bCs/>
              <w:highlight w:val="none"/>
              <w:lang w:val="zh-CN"/>
            </w:rPr>
            <w:fldChar w:fldCharType="separate"/>
          </w:r>
          <w:r>
            <w:rPr>
              <w:rFonts w:hint="eastAsia" w:eastAsia="宋体"/>
              <w:i w:val="0"/>
              <w:szCs w:val="44"/>
            </w:rPr>
            <w:t xml:space="preserve">第8章. </w:t>
          </w:r>
          <w:r>
            <w:rPr>
              <w:rFonts w:hint="eastAsia"/>
              <w:highlight w:val="none"/>
            </w:rPr>
            <w:t>概算编制</w:t>
          </w:r>
          <w:r>
            <w:tab/>
          </w:r>
          <w:r>
            <w:fldChar w:fldCharType="begin"/>
          </w:r>
          <w:r>
            <w:instrText xml:space="preserve"> PAGEREF _Toc21626 \h </w:instrText>
          </w:r>
          <w:r>
            <w:fldChar w:fldCharType="separate"/>
          </w:r>
          <w:r>
            <w:t>106</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_Toc26219 </w:instrText>
          </w:r>
          <w:r>
            <w:rPr>
              <w:bCs/>
              <w:highlight w:val="none"/>
              <w:lang w:val="zh-CN"/>
            </w:rPr>
            <w:fldChar w:fldCharType="separate"/>
          </w:r>
          <w:r>
            <w:rPr>
              <w:rFonts w:hint="eastAsia" w:ascii="宋体" w:hAnsi="宋体" w:eastAsia="宋体"/>
              <w:i w:val="0"/>
              <w:szCs w:val="32"/>
            </w:rPr>
            <w:t xml:space="preserve">8.1. </w:t>
          </w:r>
          <w:r>
            <w:rPr>
              <w:rFonts w:hint="eastAsia"/>
              <w:highlight w:val="none"/>
            </w:rPr>
            <w:t>编制依据</w:t>
          </w:r>
          <w:r>
            <w:tab/>
          </w:r>
          <w:r>
            <w:fldChar w:fldCharType="begin"/>
          </w:r>
          <w:r>
            <w:instrText xml:space="preserve"> PAGEREF _Toc26219 \h </w:instrText>
          </w:r>
          <w:r>
            <w:fldChar w:fldCharType="separate"/>
          </w:r>
          <w:r>
            <w:t>106</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_Toc154 </w:instrText>
          </w:r>
          <w:r>
            <w:rPr>
              <w:bCs/>
              <w:highlight w:val="none"/>
              <w:lang w:val="zh-CN"/>
            </w:rPr>
            <w:fldChar w:fldCharType="separate"/>
          </w:r>
          <w:r>
            <w:rPr>
              <w:rFonts w:hint="eastAsia" w:ascii="宋体" w:hAnsi="宋体" w:eastAsia="宋体"/>
              <w:i w:val="0"/>
              <w:szCs w:val="32"/>
            </w:rPr>
            <w:t xml:space="preserve">8.2. </w:t>
          </w:r>
          <w:r>
            <w:rPr>
              <w:rFonts w:hint="eastAsia"/>
              <w:highlight w:val="none"/>
            </w:rPr>
            <w:t>各种费率的取定</w:t>
          </w:r>
          <w:r>
            <w:tab/>
          </w:r>
          <w:r>
            <w:fldChar w:fldCharType="begin"/>
          </w:r>
          <w:r>
            <w:instrText xml:space="preserve"> PAGEREF _Toc154 \h </w:instrText>
          </w:r>
          <w:r>
            <w:fldChar w:fldCharType="separate"/>
          </w:r>
          <w:r>
            <w:t>106</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_Toc10936 </w:instrText>
          </w:r>
          <w:r>
            <w:rPr>
              <w:bCs/>
              <w:highlight w:val="none"/>
              <w:lang w:val="zh-CN"/>
            </w:rPr>
            <w:fldChar w:fldCharType="separate"/>
          </w:r>
          <w:r>
            <w:rPr>
              <w:rFonts w:hint="eastAsia" w:ascii="宋体" w:hAnsi="宋体" w:eastAsia="宋体"/>
              <w:i w:val="0"/>
              <w:szCs w:val="30"/>
            </w:rPr>
            <w:t xml:space="preserve">8.2.1. </w:t>
          </w:r>
          <w:r>
            <w:rPr>
              <w:highlight w:val="none"/>
            </w:rPr>
            <w:t>系统集成费</w:t>
          </w:r>
          <w:r>
            <w:rPr>
              <w:rFonts w:hint="eastAsia"/>
              <w:highlight w:val="none"/>
              <w:lang w:val="en-US" w:eastAsia="zh-CN"/>
            </w:rPr>
            <w:t>取费说明</w:t>
          </w:r>
          <w:r>
            <w:tab/>
          </w:r>
          <w:r>
            <w:fldChar w:fldCharType="begin"/>
          </w:r>
          <w:r>
            <w:instrText xml:space="preserve"> PAGEREF _Toc10936 \h </w:instrText>
          </w:r>
          <w:r>
            <w:fldChar w:fldCharType="separate"/>
          </w:r>
          <w:r>
            <w:t>106</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_Toc18515 </w:instrText>
          </w:r>
          <w:r>
            <w:rPr>
              <w:bCs/>
              <w:highlight w:val="none"/>
              <w:lang w:val="zh-CN"/>
            </w:rPr>
            <w:fldChar w:fldCharType="separate"/>
          </w:r>
          <w:r>
            <w:rPr>
              <w:rFonts w:hint="eastAsia" w:ascii="宋体" w:hAnsi="宋体" w:eastAsia="宋体"/>
              <w:i w:val="0"/>
              <w:szCs w:val="30"/>
            </w:rPr>
            <w:t xml:space="preserve">8.2.2. </w:t>
          </w:r>
          <w:r>
            <w:rPr>
              <w:highlight w:val="none"/>
            </w:rPr>
            <w:t>税金</w:t>
          </w:r>
          <w:r>
            <w:rPr>
              <w:rFonts w:hint="eastAsia"/>
              <w:highlight w:val="none"/>
              <w:lang w:val="en-US" w:eastAsia="zh-CN"/>
            </w:rPr>
            <w:t>取费说明</w:t>
          </w:r>
          <w:r>
            <w:tab/>
          </w:r>
          <w:r>
            <w:fldChar w:fldCharType="begin"/>
          </w:r>
          <w:r>
            <w:instrText xml:space="preserve"> PAGEREF _Toc18515 \h </w:instrText>
          </w:r>
          <w:r>
            <w:fldChar w:fldCharType="separate"/>
          </w:r>
          <w:r>
            <w:t>106</w:t>
          </w:r>
          <w:r>
            <w:fldChar w:fldCharType="end"/>
          </w:r>
          <w:r>
            <w:rPr>
              <w:bCs/>
              <w:highlight w:val="none"/>
              <w:lang w:val="zh-CN"/>
            </w:rPr>
            <w:fldChar w:fldCharType="end"/>
          </w:r>
        </w:p>
        <w:p>
          <w:pPr>
            <w:pStyle w:val="25"/>
            <w:tabs>
              <w:tab w:val="right" w:leader="dot" w:pos="8312"/>
            </w:tabs>
          </w:pPr>
          <w:r>
            <w:rPr>
              <w:bCs/>
              <w:highlight w:val="none"/>
              <w:lang w:val="zh-CN"/>
            </w:rPr>
            <w:fldChar w:fldCharType="begin"/>
          </w:r>
          <w:r>
            <w:rPr>
              <w:bCs/>
              <w:highlight w:val="none"/>
              <w:lang w:val="zh-CN"/>
            </w:rPr>
            <w:instrText xml:space="preserve"> HYPERLINK \l _Toc18895 </w:instrText>
          </w:r>
          <w:r>
            <w:rPr>
              <w:bCs/>
              <w:highlight w:val="none"/>
              <w:lang w:val="zh-CN"/>
            </w:rPr>
            <w:fldChar w:fldCharType="separate"/>
          </w:r>
          <w:r>
            <w:rPr>
              <w:rFonts w:hint="eastAsia" w:ascii="宋体" w:hAnsi="宋体" w:eastAsia="宋体"/>
              <w:i w:val="0"/>
              <w:szCs w:val="32"/>
            </w:rPr>
            <w:t xml:space="preserve">8.3. </w:t>
          </w:r>
          <w:r>
            <w:rPr>
              <w:rFonts w:hint="eastAsia"/>
              <w:highlight w:val="none"/>
            </w:rPr>
            <w:t>概算表格</w:t>
          </w:r>
          <w:r>
            <w:tab/>
          </w:r>
          <w:r>
            <w:fldChar w:fldCharType="begin"/>
          </w:r>
          <w:r>
            <w:instrText xml:space="preserve"> PAGEREF _Toc18895 \h </w:instrText>
          </w:r>
          <w:r>
            <w:fldChar w:fldCharType="separate"/>
          </w:r>
          <w:r>
            <w:t>107</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_Toc27616 </w:instrText>
          </w:r>
          <w:r>
            <w:rPr>
              <w:bCs/>
              <w:highlight w:val="none"/>
              <w:lang w:val="zh-CN"/>
            </w:rPr>
            <w:fldChar w:fldCharType="separate"/>
          </w:r>
          <w:r>
            <w:rPr>
              <w:rFonts w:hint="eastAsia" w:ascii="宋体" w:hAnsi="宋体" w:eastAsia="宋体"/>
              <w:i w:val="0"/>
              <w:szCs w:val="30"/>
            </w:rPr>
            <w:t xml:space="preserve">8.3.1. </w:t>
          </w:r>
          <w:r>
            <w:rPr>
              <w:rFonts w:hint="eastAsia"/>
              <w:highlight w:val="none"/>
            </w:rPr>
            <w:t>概算总表</w:t>
          </w:r>
          <w:r>
            <w:tab/>
          </w:r>
          <w:r>
            <w:fldChar w:fldCharType="begin"/>
          </w:r>
          <w:r>
            <w:instrText xml:space="preserve"> PAGEREF _Toc27616 \h </w:instrText>
          </w:r>
          <w:r>
            <w:fldChar w:fldCharType="separate"/>
          </w:r>
          <w:r>
            <w:t>107</w:t>
          </w:r>
          <w:r>
            <w:fldChar w:fldCharType="end"/>
          </w:r>
          <w:r>
            <w:rPr>
              <w:bCs/>
              <w:highlight w:val="none"/>
              <w:lang w:val="zh-CN"/>
            </w:rPr>
            <w:fldChar w:fldCharType="end"/>
          </w:r>
        </w:p>
        <w:p>
          <w:pPr>
            <w:pStyle w:val="16"/>
            <w:tabs>
              <w:tab w:val="right" w:leader="dot" w:pos="8312"/>
            </w:tabs>
          </w:pPr>
          <w:r>
            <w:rPr>
              <w:bCs/>
              <w:highlight w:val="none"/>
              <w:lang w:val="zh-CN"/>
            </w:rPr>
            <w:fldChar w:fldCharType="begin"/>
          </w:r>
          <w:r>
            <w:rPr>
              <w:bCs/>
              <w:highlight w:val="none"/>
              <w:lang w:val="zh-CN"/>
            </w:rPr>
            <w:instrText xml:space="preserve"> HYPERLINK \l _Toc12752 </w:instrText>
          </w:r>
          <w:r>
            <w:rPr>
              <w:bCs/>
              <w:highlight w:val="none"/>
              <w:lang w:val="zh-CN"/>
            </w:rPr>
            <w:fldChar w:fldCharType="separate"/>
          </w:r>
          <w:r>
            <w:rPr>
              <w:rFonts w:hint="eastAsia" w:ascii="宋体" w:hAnsi="宋体" w:eastAsia="宋体"/>
              <w:i w:val="0"/>
              <w:szCs w:val="30"/>
            </w:rPr>
            <w:t xml:space="preserve">8.3.2. </w:t>
          </w:r>
          <w:r>
            <w:rPr>
              <w:rFonts w:hint="eastAsia"/>
              <w:highlight w:val="none"/>
            </w:rPr>
            <w:t>清单明细</w:t>
          </w:r>
          <w:r>
            <w:tab/>
          </w:r>
          <w:r>
            <w:fldChar w:fldCharType="begin"/>
          </w:r>
          <w:r>
            <w:instrText xml:space="preserve"> PAGEREF _Toc12752 \h </w:instrText>
          </w:r>
          <w:r>
            <w:fldChar w:fldCharType="separate"/>
          </w:r>
          <w:r>
            <w:t>108</w:t>
          </w:r>
          <w:r>
            <w:fldChar w:fldCharType="end"/>
          </w:r>
          <w:r>
            <w:rPr>
              <w:bCs/>
              <w:highlight w:val="none"/>
              <w:lang w:val="zh-CN"/>
            </w:rPr>
            <w:fldChar w:fldCharType="end"/>
          </w:r>
        </w:p>
        <w:p>
          <w:pPr>
            <w:pStyle w:val="22"/>
            <w:tabs>
              <w:tab w:val="right" w:leader="dot" w:pos="8312"/>
            </w:tabs>
          </w:pPr>
          <w:r>
            <w:rPr>
              <w:bCs/>
              <w:highlight w:val="none"/>
              <w:lang w:val="zh-CN"/>
            </w:rPr>
            <w:fldChar w:fldCharType="begin"/>
          </w:r>
          <w:r>
            <w:rPr>
              <w:bCs/>
              <w:highlight w:val="none"/>
              <w:lang w:val="zh-CN"/>
            </w:rPr>
            <w:instrText xml:space="preserve"> HYPERLINK \l _Toc9216 </w:instrText>
          </w:r>
          <w:r>
            <w:rPr>
              <w:bCs/>
              <w:highlight w:val="none"/>
              <w:lang w:val="zh-CN"/>
            </w:rPr>
            <w:fldChar w:fldCharType="separate"/>
          </w:r>
          <w:r>
            <w:rPr>
              <w:rFonts w:hint="eastAsia" w:eastAsia="宋体"/>
              <w:i w:val="0"/>
              <w:szCs w:val="44"/>
            </w:rPr>
            <w:t xml:space="preserve">第9章. </w:t>
          </w:r>
          <w:r>
            <w:rPr>
              <w:rFonts w:hint="eastAsia"/>
              <w:highlight w:val="none"/>
              <w:lang w:val="en-US" w:eastAsia="zh-CN"/>
            </w:rPr>
            <w:t>设计公司资质</w:t>
          </w:r>
          <w:r>
            <w:tab/>
          </w:r>
          <w:r>
            <w:fldChar w:fldCharType="begin"/>
          </w:r>
          <w:r>
            <w:instrText xml:space="preserve"> PAGEREF _Toc9216 \h </w:instrText>
          </w:r>
          <w:r>
            <w:fldChar w:fldCharType="separate"/>
          </w:r>
          <w:r>
            <w:t>127</w:t>
          </w:r>
          <w:r>
            <w:fldChar w:fldCharType="end"/>
          </w:r>
          <w:r>
            <w:rPr>
              <w:bCs/>
              <w:highlight w:val="none"/>
              <w:lang w:val="zh-CN"/>
            </w:rPr>
            <w:fldChar w:fldCharType="end"/>
          </w:r>
        </w:p>
        <w:p>
          <w:pPr>
            <w:rPr>
              <w:rFonts w:hint="eastAsia" w:eastAsia="宋体"/>
              <w:highlight w:val="none"/>
              <w:lang w:val="en-US" w:eastAsia="zh-CN"/>
            </w:rPr>
          </w:pPr>
          <w:r>
            <w:rPr>
              <w:bCs/>
              <w:highlight w:val="none"/>
              <w:lang w:val="zh-CN"/>
            </w:rPr>
            <w:fldChar w:fldCharType="end"/>
          </w:r>
          <w:bookmarkStart w:id="260" w:name="_GoBack"/>
          <w:bookmarkEnd w:id="260"/>
        </w:p>
      </w:sdtContent>
    </w:sdt>
    <w:p>
      <w:pPr>
        <w:pStyle w:val="2"/>
        <w:keepNext/>
        <w:keepLines/>
        <w:pageBreakBefore/>
        <w:widowControl w:val="0"/>
        <w:kinsoku/>
        <w:wordWrap/>
        <w:overflowPunct/>
        <w:topLinePunct w:val="0"/>
        <w:autoSpaceDE/>
        <w:autoSpaceDN/>
        <w:bidi w:val="0"/>
        <w:adjustRightInd/>
        <w:snapToGrid/>
        <w:ind w:left="482" w:leftChars="0" w:hanging="425" w:firstLineChars="0"/>
        <w:jc w:val="center"/>
        <w:textAlignment w:val="auto"/>
        <w:rPr>
          <w:highlight w:val="none"/>
        </w:rPr>
      </w:pPr>
      <w:bookmarkStart w:id="0" w:name="_Toc26048"/>
      <w:r>
        <w:rPr>
          <w:rFonts w:hint="eastAsia"/>
          <w:highlight w:val="none"/>
        </w:rPr>
        <w:t>项目概述</w:t>
      </w:r>
      <w:bookmarkEnd w:id="0"/>
    </w:p>
    <w:p>
      <w:pPr>
        <w:pStyle w:val="3"/>
        <w:bidi w:val="0"/>
        <w:ind w:left="482" w:leftChars="0" w:hanging="425" w:firstLineChars="0"/>
        <w:rPr>
          <w:highlight w:val="none"/>
        </w:rPr>
      </w:pPr>
      <w:bookmarkStart w:id="1" w:name="_Toc1942"/>
      <w:r>
        <w:rPr>
          <w:rFonts w:hint="eastAsia"/>
          <w:highlight w:val="none"/>
        </w:rPr>
        <w:t>项目名称</w:t>
      </w:r>
      <w:bookmarkEnd w:id="1"/>
    </w:p>
    <w:p>
      <w:pPr>
        <w:ind w:firstLine="480"/>
        <w:rPr>
          <w:highlight w:val="none"/>
        </w:rPr>
      </w:pPr>
      <w:r>
        <w:rPr>
          <w:rFonts w:hint="eastAsia"/>
          <w:highlight w:val="none"/>
        </w:rPr>
        <w:t>项目名称；汕头职业技术学院</w:t>
      </w:r>
      <w:r>
        <w:rPr>
          <w:rFonts w:hint="eastAsia"/>
          <w:highlight w:val="none"/>
          <w:lang w:eastAsia="zh-CN"/>
        </w:rPr>
        <w:t>（</w:t>
      </w:r>
      <w:r>
        <w:rPr>
          <w:rFonts w:hint="eastAsia"/>
          <w:highlight w:val="none"/>
          <w:lang w:val="en-US" w:eastAsia="zh-CN"/>
        </w:rPr>
        <w:t>校本部）安全管理中心建设</w:t>
      </w:r>
      <w:r>
        <w:rPr>
          <w:rFonts w:hint="eastAsia"/>
          <w:highlight w:val="none"/>
        </w:rPr>
        <w:t>项目</w:t>
      </w:r>
    </w:p>
    <w:p>
      <w:pPr>
        <w:pStyle w:val="3"/>
        <w:bidi w:val="0"/>
        <w:ind w:left="482" w:leftChars="0" w:hanging="425" w:firstLineChars="0"/>
        <w:rPr>
          <w:highlight w:val="none"/>
        </w:rPr>
      </w:pPr>
      <w:bookmarkStart w:id="2" w:name="_Toc19040"/>
      <w:r>
        <w:rPr>
          <w:rFonts w:hint="eastAsia"/>
          <w:highlight w:val="none"/>
        </w:rPr>
        <w:t>建设单位</w:t>
      </w:r>
      <w:bookmarkEnd w:id="2"/>
    </w:p>
    <w:p>
      <w:pPr>
        <w:ind w:firstLine="480"/>
        <w:rPr>
          <w:highlight w:val="none"/>
        </w:rPr>
      </w:pPr>
      <w:r>
        <w:rPr>
          <w:rFonts w:hint="eastAsia"/>
          <w:highlight w:val="none"/>
        </w:rPr>
        <w:t>建设单位：汕头职业技术学院（</w:t>
      </w:r>
      <w:r>
        <w:rPr>
          <w:rFonts w:hint="eastAsia"/>
          <w:highlight w:val="none"/>
          <w:lang w:eastAsia="zh-CN"/>
        </w:rPr>
        <w:t>校本部</w:t>
      </w:r>
      <w:r>
        <w:rPr>
          <w:rFonts w:hint="eastAsia"/>
          <w:highlight w:val="none"/>
        </w:rPr>
        <w:t>）</w:t>
      </w:r>
    </w:p>
    <w:p>
      <w:pPr>
        <w:ind w:firstLine="480"/>
        <w:rPr>
          <w:highlight w:val="none"/>
        </w:rPr>
      </w:pPr>
      <w:r>
        <w:rPr>
          <w:rFonts w:hint="eastAsia"/>
          <w:highlight w:val="none"/>
        </w:rPr>
        <w:t>汕头职业技术学院坐落于美丽的海滨城市汕头市。汕头是国家经济特区，广东省域副中心城市，位于粤港澳大湾区和海峡西岸经济区的重要连接点，被国务院列为全国性综合交通枢纽。2020年10月13日习近平总书记亲临汕头经济特区考察。2021年2月广东省委省政府出台政策支持汕头建设新时代中国特色社会主义现代化活力经济特区。</w:t>
      </w:r>
    </w:p>
    <w:p>
      <w:pPr>
        <w:ind w:firstLine="480"/>
        <w:rPr>
          <w:highlight w:val="none"/>
        </w:rPr>
      </w:pPr>
      <w:r>
        <w:rPr>
          <w:rFonts w:hint="eastAsia"/>
          <w:highlight w:val="none"/>
        </w:rPr>
        <w:t>汕头职业技术学院是市属全日制综合性大专院校，拥有机电一体化技术、电子商务、环境工程技术3个省级立项建设的高水平专业群，拥有机电一体化技术、建设工程管理2个省级立项建设的品牌专业，拥有电梯工程技术、酒店管理、大数据与会计等5个省级现代学徒制试点专业。现有</w:t>
      </w:r>
      <w:r>
        <w:rPr>
          <w:rFonts w:hint="eastAsia"/>
          <w:highlight w:val="none"/>
          <w:lang w:eastAsia="zh-CN"/>
        </w:rPr>
        <w:t>校本部</w:t>
      </w:r>
      <w:r>
        <w:rPr>
          <w:rFonts w:hint="eastAsia"/>
          <w:highlight w:val="none"/>
        </w:rPr>
        <w:t>、金园校区、新津校区和东墩校区四个校区。设有计算机系、机电工程系、经济管理系、外语系、艺术体育系、人文社科系、自然科学系7个系54个专业。全日制在校生约1.5万人，另有高职扩招学生2000多人，成人教育学生500多人。</w:t>
      </w:r>
    </w:p>
    <w:p>
      <w:pPr>
        <w:pStyle w:val="3"/>
        <w:bidi w:val="0"/>
        <w:ind w:left="482" w:leftChars="0" w:hanging="425" w:firstLineChars="0"/>
        <w:rPr>
          <w:highlight w:val="none"/>
        </w:rPr>
      </w:pPr>
      <w:bookmarkStart w:id="3" w:name="_Toc16595"/>
      <w:r>
        <w:rPr>
          <w:rFonts w:hint="eastAsia"/>
          <w:highlight w:val="none"/>
        </w:rPr>
        <w:t>项目情况</w:t>
      </w:r>
      <w:bookmarkEnd w:id="3"/>
    </w:p>
    <w:p>
      <w:pPr>
        <w:pStyle w:val="4"/>
        <w:bidi w:val="0"/>
        <w:ind w:left="482" w:leftChars="0" w:hanging="425" w:firstLineChars="0"/>
        <w:rPr>
          <w:highlight w:val="none"/>
        </w:rPr>
      </w:pPr>
      <w:bookmarkStart w:id="4" w:name="_Toc14838"/>
      <w:r>
        <w:rPr>
          <w:rFonts w:hint="eastAsia"/>
          <w:highlight w:val="none"/>
        </w:rPr>
        <w:t>项目</w:t>
      </w:r>
      <w:r>
        <w:rPr>
          <w:highlight w:val="none"/>
        </w:rPr>
        <w:t>背景</w:t>
      </w:r>
      <w:bookmarkEnd w:id="4"/>
    </w:p>
    <w:p>
      <w:pPr>
        <w:ind w:firstLine="480"/>
        <w:rPr>
          <w:rFonts w:hint="eastAsia" w:ascii="Times New Roman" w:hAnsi="Times New Roman"/>
          <w:highlight w:val="none"/>
          <w:lang w:val="en-US" w:eastAsia="zh-CN"/>
        </w:rPr>
      </w:pPr>
      <w:r>
        <w:rPr>
          <w:rFonts w:hint="default"/>
          <w:highlight w:val="none"/>
        </w:rPr>
        <w:t>为</w:t>
      </w:r>
      <w:r>
        <w:rPr>
          <w:rFonts w:hint="default"/>
          <w:highlight w:val="none"/>
          <w:lang w:eastAsia="zh-CN"/>
        </w:rPr>
        <w:t>贯彻</w:t>
      </w:r>
      <w:r>
        <w:rPr>
          <w:rFonts w:hint="default"/>
          <w:highlight w:val="none"/>
        </w:rPr>
        <w:t>落实</w:t>
      </w:r>
      <w:r>
        <w:rPr>
          <w:rFonts w:hint="default" w:ascii="Times New Roman" w:hAnsi="Times New Roman"/>
          <w:highlight w:val="none"/>
        </w:rPr>
        <w:t>为深入贯彻落实《国务院办公打关于加强中小学幼儿园安全风险防控体系建设的意见》</w:t>
      </w:r>
      <w:r>
        <w:rPr>
          <w:rFonts w:hint="eastAsia" w:ascii="Times New Roman" w:hAnsi="Times New Roman"/>
          <w:highlight w:val="none"/>
          <w:lang w:eastAsia="zh-CN"/>
        </w:rPr>
        <w:t>、</w:t>
      </w:r>
      <w:r>
        <w:rPr>
          <w:rFonts w:hint="default" w:ascii="Times New Roman" w:hAnsi="Times New Roman"/>
          <w:highlight w:val="none"/>
        </w:rPr>
        <w:t>《广东省教育发展“十四五规划》</w:t>
      </w:r>
      <w:r>
        <w:rPr>
          <w:rFonts w:hint="eastAsia" w:ascii="Times New Roman" w:hAnsi="Times New Roman"/>
          <w:highlight w:val="none"/>
          <w:lang w:eastAsia="zh-CN"/>
        </w:rPr>
        <w:t>、</w:t>
      </w:r>
      <w:r>
        <w:rPr>
          <w:rFonts w:hint="default" w:ascii="Times New Roman" w:hAnsi="Times New Roman"/>
          <w:highlight w:val="none"/>
        </w:rPr>
        <w:t xml:space="preserve">《广东省教育厅 广东省公安厅 </w:t>
      </w:r>
      <w:r>
        <w:rPr>
          <w:rFonts w:hint="default"/>
          <w:highlight w:val="none"/>
        </w:rPr>
        <w:t>广东省财政厅 广东省应急管理厅 广东省政务服务数据管理局关于推进校园安全管理中心建设的通知》</w:t>
      </w:r>
      <w:r>
        <w:rPr>
          <w:rFonts w:hint="default"/>
          <w:highlight w:val="none"/>
          <w:lang w:eastAsia="zh-CN"/>
        </w:rPr>
        <w:t>的精神</w:t>
      </w:r>
      <w:r>
        <w:rPr>
          <w:rFonts w:hint="eastAsia"/>
          <w:highlight w:val="none"/>
          <w:lang w:eastAsia="zh-CN"/>
        </w:rPr>
        <w:t>，</w:t>
      </w:r>
      <w:r>
        <w:rPr>
          <w:rFonts w:hint="eastAsia"/>
          <w:highlight w:val="none"/>
          <w:lang w:val="en-US" w:eastAsia="zh-CN"/>
        </w:rPr>
        <w:t>汕头职业技术学院拟建设校级安全</w:t>
      </w:r>
      <w:r>
        <w:rPr>
          <w:rFonts w:hint="eastAsia" w:ascii="Times New Roman" w:hAnsi="Times New Roman"/>
          <w:highlight w:val="none"/>
          <w:lang w:val="en-US" w:eastAsia="zh-CN"/>
        </w:rPr>
        <w:t>管理中心，负责学院的日常安全管理和校园安全防范，开展校园安全检查、实时视频调用、会商研判等工作。</w:t>
      </w:r>
      <w:r>
        <w:rPr>
          <w:rFonts w:hint="default" w:ascii="Times New Roman" w:hAnsi="Times New Roman"/>
          <w:highlight w:val="none"/>
        </w:rPr>
        <w:t>校园安全管理中心的主要职能</w:t>
      </w:r>
      <w:r>
        <w:rPr>
          <w:rFonts w:hint="eastAsia" w:ascii="Times New Roman" w:hAnsi="Times New Roman"/>
          <w:highlight w:val="none"/>
          <w:lang w:val="en-US" w:eastAsia="zh-CN"/>
        </w:rPr>
        <w:t>包括：</w:t>
      </w:r>
    </w:p>
    <w:p>
      <w:pPr>
        <w:keepNext w:val="0"/>
        <w:keepLines w:val="0"/>
        <w:pageBreakBefore w:val="0"/>
        <w:widowControl w:val="0"/>
        <w:kinsoku/>
        <w:wordWrap/>
        <w:overflowPunct/>
        <w:topLinePunct w:val="0"/>
        <w:autoSpaceDE/>
        <w:autoSpaceDN/>
        <w:bidi w:val="0"/>
        <w:adjustRightInd/>
        <w:snapToGrid/>
        <w:spacing w:before="157" w:beforeLines="50"/>
        <w:ind w:firstLine="480"/>
        <w:textAlignment w:val="auto"/>
        <w:rPr>
          <w:rFonts w:hint="default" w:ascii="Times New Roman" w:hAnsi="Times New Roman"/>
          <w:highlight w:val="none"/>
        </w:rPr>
      </w:pPr>
      <w:r>
        <w:rPr>
          <w:rFonts w:hint="default" w:ascii="Times New Roman" w:hAnsi="Times New Roman"/>
          <w:highlight w:val="none"/>
        </w:rPr>
        <w:t>(一) 规范管理</w:t>
      </w:r>
    </w:p>
    <w:p>
      <w:pPr>
        <w:ind w:firstLine="480"/>
        <w:rPr>
          <w:rFonts w:hint="default" w:ascii="Times New Roman" w:hAnsi="Times New Roman"/>
          <w:highlight w:val="none"/>
        </w:rPr>
      </w:pPr>
      <w:r>
        <w:rPr>
          <w:rFonts w:hint="default" w:ascii="Times New Roman" w:hAnsi="Times New Roman"/>
          <w:highlight w:val="none"/>
        </w:rPr>
        <w:t>指导和督促规范学校的日常安全管理和校园安全防范工作，制定和完善学校安全管理规范，明确学校安全管理职责，建立安全管理法规库和日常安全检查库。</w:t>
      </w:r>
    </w:p>
    <w:p>
      <w:pPr>
        <w:keepNext w:val="0"/>
        <w:keepLines w:val="0"/>
        <w:pageBreakBefore w:val="0"/>
        <w:widowControl w:val="0"/>
        <w:kinsoku/>
        <w:wordWrap/>
        <w:overflowPunct/>
        <w:topLinePunct w:val="0"/>
        <w:autoSpaceDE/>
        <w:autoSpaceDN/>
        <w:bidi w:val="0"/>
        <w:adjustRightInd/>
        <w:snapToGrid/>
        <w:spacing w:before="157" w:beforeLines="50"/>
        <w:ind w:firstLine="480"/>
        <w:textAlignment w:val="auto"/>
        <w:rPr>
          <w:rFonts w:hint="default" w:ascii="Times New Roman" w:hAnsi="Times New Roman"/>
          <w:highlight w:val="none"/>
        </w:rPr>
      </w:pPr>
      <w:r>
        <w:rPr>
          <w:rFonts w:hint="default" w:ascii="Times New Roman" w:hAnsi="Times New Roman"/>
          <w:highlight w:val="none"/>
        </w:rPr>
        <w:t>(二) 监督检查</w:t>
      </w:r>
    </w:p>
    <w:p>
      <w:pPr>
        <w:ind w:firstLine="480"/>
        <w:rPr>
          <w:rFonts w:hint="default" w:ascii="Times New Roman" w:hAnsi="Times New Roman"/>
          <w:highlight w:val="none"/>
        </w:rPr>
      </w:pPr>
      <w:r>
        <w:rPr>
          <w:rFonts w:hint="default" w:ascii="Times New Roman" w:hAnsi="Times New Roman"/>
          <w:highlight w:val="none"/>
        </w:rPr>
        <w:t>在学校重点场所设立的实时监控图像、报警信息、保安与外来访客信息以及外包服务人员信息系统接入校园安全管理中心，中心通过视频检查、网络监管等方式，指导和督促各级教育行政部门、学校认真贯彻落实国家相关法律法规，以及教育部和本省关于学校安全管理的相关规定，落实隐患排查和整改工作。</w:t>
      </w:r>
    </w:p>
    <w:p>
      <w:pPr>
        <w:keepNext w:val="0"/>
        <w:keepLines w:val="0"/>
        <w:pageBreakBefore w:val="0"/>
        <w:widowControl w:val="0"/>
        <w:kinsoku/>
        <w:wordWrap/>
        <w:overflowPunct/>
        <w:topLinePunct w:val="0"/>
        <w:autoSpaceDE/>
        <w:autoSpaceDN/>
        <w:bidi w:val="0"/>
        <w:adjustRightInd/>
        <w:snapToGrid/>
        <w:spacing w:before="157" w:beforeLines="50"/>
        <w:ind w:firstLine="480"/>
        <w:textAlignment w:val="auto"/>
        <w:rPr>
          <w:rFonts w:hint="default" w:ascii="Times New Roman" w:hAnsi="Times New Roman"/>
          <w:highlight w:val="none"/>
        </w:rPr>
      </w:pPr>
      <w:r>
        <w:rPr>
          <w:rFonts w:hint="default" w:ascii="Times New Roman" w:hAnsi="Times New Roman"/>
          <w:highlight w:val="none"/>
        </w:rPr>
        <w:t>(三) 突发事件处置</w:t>
      </w:r>
    </w:p>
    <w:p>
      <w:pPr>
        <w:ind w:firstLine="480"/>
        <w:rPr>
          <w:rFonts w:hint="default" w:ascii="Times New Roman" w:hAnsi="Times New Roman"/>
          <w:highlight w:val="none"/>
        </w:rPr>
      </w:pPr>
      <w:r>
        <w:rPr>
          <w:rFonts w:hint="default" w:ascii="Times New Roman" w:hAnsi="Times New Roman"/>
          <w:highlight w:val="none"/>
        </w:rPr>
        <w:t>依托校园安全管理中心，搭建应急指挥处置系统，汇总、交互突发事件即时信息，为应急指挥提供相关信息。</w:t>
      </w:r>
    </w:p>
    <w:p>
      <w:pPr>
        <w:keepNext w:val="0"/>
        <w:keepLines w:val="0"/>
        <w:pageBreakBefore w:val="0"/>
        <w:widowControl w:val="0"/>
        <w:kinsoku/>
        <w:wordWrap/>
        <w:overflowPunct/>
        <w:topLinePunct w:val="0"/>
        <w:autoSpaceDE/>
        <w:autoSpaceDN/>
        <w:bidi w:val="0"/>
        <w:adjustRightInd/>
        <w:snapToGrid/>
        <w:spacing w:before="157" w:beforeLines="50"/>
        <w:ind w:firstLine="480"/>
        <w:textAlignment w:val="auto"/>
        <w:rPr>
          <w:rFonts w:hint="default" w:ascii="Times New Roman" w:hAnsi="Times New Roman"/>
          <w:highlight w:val="none"/>
        </w:rPr>
      </w:pPr>
      <w:r>
        <w:rPr>
          <w:rFonts w:hint="default" w:ascii="Times New Roman" w:hAnsi="Times New Roman"/>
          <w:highlight w:val="none"/>
        </w:rPr>
        <w:t>(四) 教育培训</w:t>
      </w:r>
    </w:p>
    <w:p>
      <w:pPr>
        <w:ind w:firstLine="480"/>
        <w:rPr>
          <w:rFonts w:hint="default" w:ascii="Times New Roman" w:hAnsi="Times New Roman"/>
          <w:highlight w:val="none"/>
        </w:rPr>
      </w:pPr>
      <w:r>
        <w:rPr>
          <w:rFonts w:hint="default" w:ascii="Times New Roman" w:hAnsi="Times New Roman"/>
          <w:highlight w:val="none"/>
        </w:rPr>
        <w:t>通过远程通讯、网络教学、举办培训班等方式，开展全省学校安全管理工作培训。提供国内外涉校安全管理相关法规、规缉性文件，以及典型案例的收集、储存、查询、检索等服务。提供安全教育课件和应急演练指导模板。</w:t>
      </w:r>
    </w:p>
    <w:p>
      <w:pPr>
        <w:keepNext w:val="0"/>
        <w:keepLines w:val="0"/>
        <w:pageBreakBefore w:val="0"/>
        <w:widowControl w:val="0"/>
        <w:kinsoku/>
        <w:wordWrap/>
        <w:overflowPunct/>
        <w:topLinePunct w:val="0"/>
        <w:autoSpaceDE/>
        <w:autoSpaceDN/>
        <w:bidi w:val="0"/>
        <w:adjustRightInd/>
        <w:snapToGrid/>
        <w:spacing w:before="157" w:beforeLines="50"/>
        <w:ind w:firstLine="480"/>
        <w:textAlignment w:val="auto"/>
        <w:rPr>
          <w:rFonts w:hint="default" w:ascii="Times New Roman" w:hAnsi="Times New Roman"/>
          <w:highlight w:val="none"/>
        </w:rPr>
      </w:pPr>
      <w:r>
        <w:rPr>
          <w:rFonts w:hint="default" w:ascii="Times New Roman" w:hAnsi="Times New Roman"/>
          <w:highlight w:val="none"/>
        </w:rPr>
        <w:t>(五) 信息发布</w:t>
      </w:r>
    </w:p>
    <w:p>
      <w:pPr>
        <w:ind w:firstLine="480"/>
        <w:rPr>
          <w:rFonts w:hint="default" w:ascii="Times New Roman" w:hAnsi="Times New Roman"/>
          <w:highlight w:val="none"/>
        </w:rPr>
      </w:pPr>
      <w:r>
        <w:rPr>
          <w:rFonts w:hint="default" w:ascii="Times New Roman" w:hAnsi="Times New Roman"/>
          <w:highlight w:val="none"/>
        </w:rPr>
        <w:t>通过校园安全管理中心提升广东省教育系统安全工作信息有效下达，迅速反馈、即时察看。各级领导可通过粤省事、沁政易、政务服务等手机APP实时查看安全数据，充分发挥</w:t>
      </w:r>
      <w:r>
        <w:rPr>
          <w:rFonts w:hint="eastAsia" w:ascii="Times New Roman" w:hAnsi="Times New Roman"/>
          <w:highlight w:val="none"/>
          <w:lang w:eastAsia="zh-CN"/>
        </w:rPr>
        <w:t>“</w:t>
      </w:r>
      <w:r>
        <w:rPr>
          <w:rFonts w:hint="default" w:ascii="Times New Roman" w:hAnsi="Times New Roman"/>
          <w:highlight w:val="none"/>
        </w:rPr>
        <w:t>监督、管理、服务</w:t>
      </w:r>
      <w:r>
        <w:rPr>
          <w:rFonts w:hint="eastAsia" w:ascii="Times New Roman" w:hAnsi="Times New Roman"/>
          <w:highlight w:val="none"/>
          <w:lang w:eastAsia="zh-CN"/>
        </w:rPr>
        <w:t>”</w:t>
      </w:r>
      <w:r>
        <w:rPr>
          <w:rFonts w:hint="default" w:ascii="Times New Roman" w:hAnsi="Times New Roman"/>
          <w:highlight w:val="none"/>
        </w:rPr>
        <w:t>的职能。通过校园安全管理中心APP或粤政易公众号推送安全预警、案例分析等与青少年保护相关的信息，定期组织各级教育部门和学校相关工作人员进行安全教育互动活动, 预防和减少安全事故的发生。</w:t>
      </w:r>
    </w:p>
    <w:p>
      <w:pPr>
        <w:keepNext w:val="0"/>
        <w:keepLines w:val="0"/>
        <w:pageBreakBefore w:val="0"/>
        <w:widowControl w:val="0"/>
        <w:kinsoku/>
        <w:wordWrap/>
        <w:overflowPunct/>
        <w:topLinePunct w:val="0"/>
        <w:autoSpaceDE/>
        <w:autoSpaceDN/>
        <w:bidi w:val="0"/>
        <w:adjustRightInd/>
        <w:snapToGrid/>
        <w:spacing w:before="157" w:beforeLines="50"/>
        <w:ind w:firstLine="480"/>
        <w:textAlignment w:val="auto"/>
        <w:rPr>
          <w:rFonts w:hint="default" w:ascii="Times New Roman" w:hAnsi="Times New Roman"/>
          <w:highlight w:val="none"/>
        </w:rPr>
      </w:pPr>
      <w:r>
        <w:rPr>
          <w:rFonts w:hint="default" w:ascii="Times New Roman" w:hAnsi="Times New Roman"/>
          <w:highlight w:val="none"/>
        </w:rPr>
        <w:t>(六) 指导与服务</w:t>
      </w:r>
    </w:p>
    <w:p>
      <w:pPr>
        <w:ind w:firstLine="480"/>
        <w:rPr>
          <w:rFonts w:hint="eastAsia"/>
          <w:sz w:val="36"/>
          <w:highlight w:val="none"/>
          <w:lang w:val="en-US" w:eastAsia="zh-CN"/>
        </w:rPr>
      </w:pPr>
      <w:r>
        <w:rPr>
          <w:rFonts w:hint="default" w:ascii="Times New Roman" w:hAnsi="Times New Roman"/>
          <w:highlight w:val="none"/>
        </w:rPr>
        <w:t>建设校园安全中心是以信息化手段深入推进校园安全建设、落实安全管理主体责任的重要举措, 为教育部门和学校及时提供安全风险警示，做好安全防范工作。通过提供解读文件精神，安全政策指导、法律法规依据及专家人才库服务等，丰富校园安全体系管理的内容，促进校园安全管理体系标准建立的进程。</w:t>
      </w:r>
    </w:p>
    <w:p>
      <w:pPr>
        <w:pStyle w:val="4"/>
        <w:bidi w:val="0"/>
        <w:ind w:left="482" w:leftChars="0" w:hanging="425" w:firstLineChars="0"/>
        <w:rPr>
          <w:highlight w:val="none"/>
        </w:rPr>
      </w:pPr>
      <w:bookmarkStart w:id="5" w:name="_Toc11851"/>
      <w:r>
        <w:rPr>
          <w:highlight w:val="none"/>
        </w:rPr>
        <w:t>设计范围</w:t>
      </w:r>
      <w:bookmarkEnd w:id="5"/>
    </w:p>
    <w:p>
      <w:pPr>
        <w:pStyle w:val="5"/>
        <w:bidi w:val="0"/>
        <w:ind w:left="480" w:leftChars="0" w:firstLine="0" w:firstLineChars="0"/>
        <w:rPr>
          <w:highlight w:val="none"/>
        </w:rPr>
      </w:pPr>
      <w:r>
        <w:rPr>
          <w:highlight w:val="none"/>
        </w:rPr>
        <w:t>设计区域</w:t>
      </w:r>
    </w:p>
    <w:p>
      <w:pPr>
        <w:ind w:firstLine="480"/>
        <w:rPr>
          <w:rFonts w:hint="default" w:eastAsia="宋体"/>
          <w:highlight w:val="none"/>
          <w:lang w:val="en-US" w:eastAsia="zh-CN"/>
        </w:rPr>
      </w:pPr>
      <w:r>
        <w:rPr>
          <w:rFonts w:hint="eastAsia"/>
          <w:highlight w:val="none"/>
        </w:rPr>
        <w:t>汕头职业技术学院濠江校区（</w:t>
      </w:r>
      <w:r>
        <w:rPr>
          <w:rFonts w:hint="eastAsia"/>
          <w:highlight w:val="none"/>
          <w:lang w:eastAsia="zh-CN"/>
        </w:rPr>
        <w:t>校本部</w:t>
      </w:r>
      <w:r>
        <w:rPr>
          <w:rFonts w:hint="eastAsia"/>
          <w:highlight w:val="none"/>
        </w:rPr>
        <w:t>）</w:t>
      </w:r>
      <w:r>
        <w:rPr>
          <w:rFonts w:hint="eastAsia"/>
          <w:highlight w:val="none"/>
          <w:lang w:val="en-US" w:eastAsia="zh-CN"/>
        </w:rPr>
        <w:t>安全管理中心</w:t>
      </w:r>
    </w:p>
    <w:p>
      <w:pPr>
        <w:pStyle w:val="5"/>
        <w:bidi w:val="0"/>
        <w:ind w:left="480" w:leftChars="0" w:firstLine="0" w:firstLineChars="0"/>
        <w:rPr>
          <w:highlight w:val="none"/>
        </w:rPr>
      </w:pPr>
      <w:r>
        <w:rPr>
          <w:highlight w:val="none"/>
        </w:rPr>
        <w:t>设计内容</w:t>
      </w:r>
      <w:r>
        <w:rPr>
          <w:rFonts w:hint="eastAsia"/>
          <w:highlight w:val="none"/>
          <w:lang w:val="en-US" w:eastAsia="zh-CN"/>
        </w:rPr>
        <w:t>和规模</w:t>
      </w:r>
    </w:p>
    <w:p>
      <w:pPr>
        <w:ind w:firstLine="480"/>
        <w:jc w:val="both"/>
        <w:rPr>
          <w:rFonts w:hint="eastAsia" w:ascii="Times New Roman" w:hAnsi="Times New Roman"/>
          <w:highlight w:val="none"/>
          <w:lang w:val="en-US" w:eastAsia="zh-CN"/>
        </w:rPr>
      </w:pPr>
      <w:r>
        <w:rPr>
          <w:rFonts w:hint="eastAsia" w:ascii="Times New Roman" w:hAnsi="Times New Roman"/>
          <w:highlight w:val="none"/>
          <w:lang w:val="en-US" w:eastAsia="zh-CN"/>
        </w:rPr>
        <w:t>对学院</w:t>
      </w:r>
      <w:r>
        <w:rPr>
          <w:rFonts w:hint="eastAsia"/>
          <w:highlight w:val="none"/>
          <w:lang w:val="en-US" w:eastAsia="zh-CN"/>
        </w:rPr>
        <w:t>七号学生宿舍楼一层杂物间</w:t>
      </w:r>
      <w:r>
        <w:rPr>
          <w:rFonts w:hint="eastAsia" w:ascii="Times New Roman" w:hAnsi="Times New Roman"/>
          <w:highlight w:val="none"/>
          <w:lang w:val="en-US" w:eastAsia="zh-CN"/>
        </w:rPr>
        <w:t>进行改造，根据安全管理中心设备和办公需求，改造内容包括装修、大屏显示系统、机房建设等内容，具体如下：</w:t>
      </w:r>
    </w:p>
    <w:p>
      <w:pPr>
        <w:numPr>
          <w:ilvl w:val="0"/>
          <w:numId w:val="3"/>
        </w:numPr>
        <w:ind w:firstLine="480"/>
        <w:jc w:val="both"/>
        <w:rPr>
          <w:rFonts w:hint="eastAsia" w:ascii="Times New Roman" w:hAnsi="Times New Roman"/>
          <w:highlight w:val="none"/>
          <w:lang w:val="en-US" w:eastAsia="zh-CN"/>
        </w:rPr>
      </w:pPr>
      <w:r>
        <w:rPr>
          <w:rFonts w:hint="eastAsia" w:ascii="宋体" w:hAnsi="宋体" w:cs="宋体"/>
          <w:highlight w:val="none"/>
          <w:lang w:val="en-US" w:eastAsia="zh-CN"/>
        </w:rPr>
        <w:t>设备</w:t>
      </w:r>
      <w:r>
        <w:rPr>
          <w:rFonts w:hint="eastAsia" w:ascii="宋体" w:hAnsi="宋体" w:eastAsia="宋体" w:cs="宋体"/>
          <w:highlight w:val="none"/>
          <w:lang w:val="en-US" w:eastAsia="zh-CN"/>
        </w:rPr>
        <w:t>部分：大屏</w:t>
      </w:r>
      <w:r>
        <w:rPr>
          <w:rFonts w:hint="eastAsia" w:ascii="宋体" w:hAnsi="宋体" w:cs="宋体"/>
          <w:highlight w:val="none"/>
          <w:lang w:val="en-US" w:eastAsia="zh-CN"/>
        </w:rPr>
        <w:t>显示</w:t>
      </w:r>
      <w:r>
        <w:rPr>
          <w:rFonts w:hint="eastAsia" w:ascii="宋体" w:hAnsi="宋体" w:eastAsia="宋体" w:cs="宋体"/>
          <w:highlight w:val="none"/>
          <w:lang w:val="en-US" w:eastAsia="zh-CN"/>
        </w:rPr>
        <w:t>系统、UPS电源系统、门禁和监控系统</w:t>
      </w:r>
      <w:r>
        <w:rPr>
          <w:rFonts w:hint="eastAsia" w:ascii="宋体" w:hAnsi="宋体" w:cs="宋体"/>
          <w:highlight w:val="none"/>
          <w:lang w:val="en-US" w:eastAsia="zh-CN"/>
        </w:rPr>
        <w:t>、气体灭火系统、相关配套、机房和平台迁移</w:t>
      </w:r>
      <w:r>
        <w:rPr>
          <w:rFonts w:hint="eastAsia" w:ascii="宋体" w:hAnsi="宋体" w:eastAsia="宋体" w:cs="宋体"/>
          <w:highlight w:val="none"/>
          <w:lang w:val="en-US" w:eastAsia="zh-CN"/>
        </w:rPr>
        <w:t>等。</w:t>
      </w:r>
    </w:p>
    <w:p>
      <w:pPr>
        <w:numPr>
          <w:ilvl w:val="0"/>
          <w:numId w:val="3"/>
        </w:numPr>
        <w:ind w:firstLine="480"/>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装修部分：</w:t>
      </w:r>
      <w:r>
        <w:rPr>
          <w:rFonts w:hint="eastAsia" w:ascii="宋体" w:hAnsi="宋体" w:cs="宋体"/>
          <w:highlight w:val="none"/>
          <w:lang w:val="en-US" w:eastAsia="zh-CN"/>
        </w:rPr>
        <w:t>基础装修（包括：</w:t>
      </w:r>
      <w:r>
        <w:rPr>
          <w:rFonts w:hint="eastAsia" w:ascii="宋体" w:hAnsi="宋体" w:eastAsia="宋体" w:cs="宋体"/>
          <w:highlight w:val="none"/>
          <w:lang w:val="en-US" w:eastAsia="zh-CN"/>
        </w:rPr>
        <w:t>新砌砖墙隔断、天花吊顶、防静电地板、防火门改造</w:t>
      </w:r>
      <w:r>
        <w:rPr>
          <w:rFonts w:hint="eastAsia" w:ascii="宋体" w:hAnsi="宋体" w:cs="宋体"/>
          <w:highlight w:val="none"/>
          <w:lang w:val="en-US" w:eastAsia="zh-CN"/>
        </w:rPr>
        <w:t>等）、</w:t>
      </w:r>
      <w:r>
        <w:rPr>
          <w:rFonts w:hint="eastAsia" w:ascii="宋体" w:hAnsi="宋体" w:eastAsia="宋体" w:cs="宋体"/>
          <w:highlight w:val="none"/>
          <w:lang w:val="en-US" w:eastAsia="zh-CN"/>
        </w:rPr>
        <w:t>照明系统、配电系统等。</w:t>
      </w:r>
    </w:p>
    <w:p>
      <w:pPr>
        <w:pStyle w:val="3"/>
        <w:bidi w:val="0"/>
        <w:ind w:left="482" w:leftChars="0" w:hanging="425" w:firstLineChars="0"/>
        <w:rPr>
          <w:highlight w:val="none"/>
        </w:rPr>
      </w:pPr>
      <w:bookmarkStart w:id="6" w:name="_Toc4739"/>
      <w:r>
        <w:rPr>
          <w:rFonts w:hint="eastAsia"/>
          <w:highlight w:val="none"/>
        </w:rPr>
        <w:t>设计依据</w:t>
      </w:r>
      <w:bookmarkEnd w:id="6"/>
    </w:p>
    <w:p>
      <w:pPr>
        <w:ind w:firstLine="480"/>
        <w:rPr>
          <w:highlight w:val="none"/>
        </w:rPr>
      </w:pPr>
      <w:r>
        <w:rPr>
          <w:rFonts w:hint="eastAsia"/>
          <w:highlight w:val="none"/>
        </w:rPr>
        <w:t>汕头职业技术学院濠江校区视频监控系统维修项目设计标准及依据：</w:t>
      </w:r>
    </w:p>
    <w:p>
      <w:pPr>
        <w:ind w:firstLine="480"/>
        <w:rPr>
          <w:highlight w:val="none"/>
        </w:rPr>
      </w:pPr>
      <w:r>
        <w:rPr>
          <w:highlight w:val="none"/>
        </w:rPr>
        <w:t>1、根据学院需求以及学院内的实际环境</w:t>
      </w:r>
    </w:p>
    <w:p>
      <w:pPr>
        <w:ind w:firstLine="480"/>
        <w:rPr>
          <w:highlight w:val="none"/>
        </w:rPr>
      </w:pPr>
      <w:r>
        <w:rPr>
          <w:highlight w:val="none"/>
        </w:rPr>
        <w:t>2、根据广东省地方标准《高等院校安全防范工程技术规范》设计要求</w:t>
      </w:r>
    </w:p>
    <w:p>
      <w:pPr>
        <w:pStyle w:val="46"/>
        <w:numPr>
          <w:ilvl w:val="0"/>
          <w:numId w:val="4"/>
        </w:numPr>
        <w:ind w:firstLineChars="0"/>
        <w:rPr>
          <w:highlight w:val="none"/>
        </w:rPr>
      </w:pPr>
      <w:r>
        <w:rPr>
          <w:highlight w:val="none"/>
        </w:rPr>
        <w:t xml:space="preserve">依据下列国内技术规范、指导文件： </w:t>
      </w:r>
    </w:p>
    <w:p>
      <w:pPr>
        <w:pStyle w:val="46"/>
        <w:numPr>
          <w:ilvl w:val="0"/>
          <w:numId w:val="5"/>
        </w:numPr>
        <w:spacing w:before="156" w:beforeLines="50" w:line="312" w:lineRule="auto"/>
        <w:ind w:left="901" w:firstLineChars="0"/>
        <w:rPr>
          <w:highlight w:val="none"/>
        </w:rPr>
      </w:pPr>
      <w:r>
        <w:rPr>
          <w:highlight w:val="none"/>
        </w:rPr>
        <w:t>《安全防范视频监控联网系统信息传输、交换、控制技术要求》（GB/T28181-20</w:t>
      </w:r>
      <w:r>
        <w:rPr>
          <w:rFonts w:hint="eastAsia"/>
          <w:highlight w:val="none"/>
          <w:lang w:val="en-US" w:eastAsia="zh-CN"/>
        </w:rPr>
        <w:t>22</w:t>
      </w:r>
      <w:r>
        <w:rPr>
          <w:highlight w:val="none"/>
        </w:rPr>
        <w:t>）；</w:t>
      </w:r>
    </w:p>
    <w:p>
      <w:pPr>
        <w:pStyle w:val="46"/>
        <w:numPr>
          <w:ilvl w:val="0"/>
          <w:numId w:val="5"/>
        </w:numPr>
        <w:spacing w:before="156" w:beforeLines="50" w:line="312" w:lineRule="auto"/>
        <w:ind w:left="901" w:firstLineChars="0"/>
        <w:rPr>
          <w:highlight w:val="none"/>
        </w:rPr>
      </w:pPr>
      <w:r>
        <w:rPr>
          <w:highlight w:val="none"/>
        </w:rPr>
        <w:t>《电子计算机场地通用规范》GBT 2887-2011</w:t>
      </w:r>
    </w:p>
    <w:p>
      <w:pPr>
        <w:pStyle w:val="46"/>
        <w:numPr>
          <w:ilvl w:val="0"/>
          <w:numId w:val="5"/>
        </w:numPr>
        <w:spacing w:before="156" w:beforeLines="50" w:line="312" w:lineRule="auto"/>
        <w:ind w:left="901" w:firstLineChars="0"/>
        <w:rPr>
          <w:highlight w:val="none"/>
        </w:rPr>
      </w:pPr>
      <w:r>
        <w:rPr>
          <w:highlight w:val="none"/>
        </w:rPr>
        <w:t>《电子信息系统机房设计规范》GB 50174-2008</w:t>
      </w:r>
    </w:p>
    <w:p>
      <w:pPr>
        <w:pStyle w:val="46"/>
        <w:numPr>
          <w:ilvl w:val="0"/>
          <w:numId w:val="5"/>
        </w:numPr>
        <w:spacing w:before="156" w:beforeLines="50" w:line="312" w:lineRule="auto"/>
        <w:ind w:left="901" w:firstLineChars="0"/>
        <w:rPr>
          <w:highlight w:val="none"/>
        </w:rPr>
      </w:pPr>
      <w:r>
        <w:rPr>
          <w:rFonts w:hint="eastAsia"/>
          <w:highlight w:val="none"/>
          <w:lang w:eastAsia="zh-CN"/>
        </w:rPr>
        <w:t>《</w:t>
      </w:r>
      <w:r>
        <w:rPr>
          <w:rFonts w:hint="eastAsia"/>
          <w:highlight w:val="none"/>
        </w:rPr>
        <w:t>电子工程防静电设计规范</w:t>
      </w:r>
      <w:r>
        <w:rPr>
          <w:rFonts w:hint="eastAsia"/>
          <w:highlight w:val="none"/>
          <w:lang w:eastAsia="zh-CN"/>
        </w:rPr>
        <w:t>》</w:t>
      </w:r>
      <w:r>
        <w:rPr>
          <w:rFonts w:hint="eastAsia"/>
          <w:highlight w:val="none"/>
        </w:rPr>
        <w:t xml:space="preserve">GB 50611-2010 </w:t>
      </w:r>
    </w:p>
    <w:p>
      <w:pPr>
        <w:pStyle w:val="46"/>
        <w:numPr>
          <w:ilvl w:val="0"/>
          <w:numId w:val="5"/>
        </w:numPr>
        <w:spacing w:before="156" w:beforeLines="50" w:line="312" w:lineRule="auto"/>
        <w:ind w:left="901" w:firstLineChars="0"/>
        <w:rPr>
          <w:highlight w:val="none"/>
        </w:rPr>
      </w:pPr>
      <w:r>
        <w:rPr>
          <w:highlight w:val="none"/>
        </w:rPr>
        <w:t>《电子信息系统机房施工及验收规范》GB 50462-2008</w:t>
      </w:r>
    </w:p>
    <w:p>
      <w:pPr>
        <w:pStyle w:val="46"/>
        <w:numPr>
          <w:ilvl w:val="0"/>
          <w:numId w:val="5"/>
        </w:numPr>
        <w:spacing w:before="156" w:beforeLines="50" w:line="312" w:lineRule="auto"/>
        <w:ind w:left="901" w:firstLineChars="0"/>
        <w:rPr>
          <w:highlight w:val="none"/>
        </w:rPr>
      </w:pPr>
      <w:r>
        <w:rPr>
          <w:highlight w:val="none"/>
        </w:rPr>
        <w:t>《电力工程电缆设计规范》GB 50217-20</w:t>
      </w:r>
      <w:r>
        <w:rPr>
          <w:rFonts w:hint="eastAsia"/>
          <w:highlight w:val="none"/>
          <w:lang w:val="en-US" w:eastAsia="zh-CN"/>
        </w:rPr>
        <w:t>18</w:t>
      </w:r>
    </w:p>
    <w:p>
      <w:pPr>
        <w:pStyle w:val="46"/>
        <w:numPr>
          <w:ilvl w:val="0"/>
          <w:numId w:val="5"/>
        </w:numPr>
        <w:spacing w:before="156" w:beforeLines="50" w:line="312" w:lineRule="auto"/>
        <w:ind w:left="901" w:firstLineChars="0"/>
        <w:rPr>
          <w:highlight w:val="none"/>
        </w:rPr>
      </w:pPr>
      <w:r>
        <w:rPr>
          <w:rFonts w:hint="eastAsia"/>
          <w:highlight w:val="none"/>
          <w:lang w:eastAsia="zh-CN"/>
        </w:rPr>
        <w:t>《</w:t>
      </w:r>
      <w:r>
        <w:rPr>
          <w:rFonts w:hint="eastAsia"/>
          <w:highlight w:val="none"/>
        </w:rPr>
        <w:t>导(防)静电地面设计规范</w:t>
      </w:r>
      <w:r>
        <w:rPr>
          <w:rFonts w:hint="eastAsia"/>
          <w:highlight w:val="none"/>
          <w:lang w:eastAsia="zh-CN"/>
        </w:rPr>
        <w:t>》</w:t>
      </w:r>
      <w:r>
        <w:rPr>
          <w:rFonts w:hint="eastAsia"/>
          <w:highlight w:val="none"/>
        </w:rPr>
        <w:t xml:space="preserve">GB 50515-2010 </w:t>
      </w:r>
    </w:p>
    <w:p>
      <w:pPr>
        <w:pStyle w:val="46"/>
        <w:numPr>
          <w:ilvl w:val="0"/>
          <w:numId w:val="5"/>
        </w:numPr>
        <w:spacing w:before="156" w:beforeLines="50" w:line="312" w:lineRule="auto"/>
        <w:ind w:left="901" w:firstLineChars="0"/>
        <w:rPr>
          <w:highlight w:val="none"/>
        </w:rPr>
      </w:pPr>
      <w:r>
        <w:rPr>
          <w:rFonts w:hint="eastAsia"/>
          <w:highlight w:val="none"/>
          <w:lang w:eastAsia="zh-CN"/>
        </w:rPr>
        <w:t>《</w:t>
      </w:r>
      <w:r>
        <w:rPr>
          <w:rFonts w:hint="eastAsia"/>
          <w:highlight w:val="none"/>
        </w:rPr>
        <w:t>数据中心设计规范</w:t>
      </w:r>
      <w:r>
        <w:rPr>
          <w:rFonts w:hint="eastAsia"/>
          <w:highlight w:val="none"/>
          <w:lang w:eastAsia="zh-CN"/>
        </w:rPr>
        <w:t>》</w:t>
      </w:r>
      <w:r>
        <w:rPr>
          <w:rFonts w:hint="eastAsia"/>
          <w:highlight w:val="none"/>
        </w:rPr>
        <w:t>GB 50174-201</w:t>
      </w:r>
      <w:r>
        <w:rPr>
          <w:rFonts w:hint="eastAsia"/>
          <w:highlight w:val="none"/>
          <w:lang w:val="en-US" w:eastAsia="zh-CN"/>
        </w:rPr>
        <w:t>9</w:t>
      </w:r>
    </w:p>
    <w:p>
      <w:pPr>
        <w:pStyle w:val="46"/>
        <w:numPr>
          <w:ilvl w:val="0"/>
          <w:numId w:val="5"/>
        </w:numPr>
        <w:spacing w:before="156" w:beforeLines="50" w:line="312" w:lineRule="auto"/>
        <w:ind w:left="901" w:firstLineChars="0"/>
        <w:rPr>
          <w:highlight w:val="none"/>
        </w:rPr>
      </w:pPr>
      <w:r>
        <w:rPr>
          <w:rFonts w:hint="eastAsia"/>
          <w:highlight w:val="none"/>
          <w:lang w:eastAsia="zh-CN"/>
        </w:rPr>
        <w:t>《</w:t>
      </w:r>
      <w:r>
        <w:rPr>
          <w:rFonts w:hint="eastAsia"/>
          <w:highlight w:val="none"/>
        </w:rPr>
        <w:t>数据中心综合监控系统工程技术标准</w:t>
      </w:r>
      <w:r>
        <w:rPr>
          <w:rFonts w:hint="eastAsia"/>
          <w:highlight w:val="none"/>
          <w:lang w:eastAsia="zh-CN"/>
        </w:rPr>
        <w:t>》</w:t>
      </w:r>
      <w:r>
        <w:rPr>
          <w:rFonts w:hint="eastAsia"/>
          <w:highlight w:val="none"/>
        </w:rPr>
        <w:t xml:space="preserve">GBT 51409一2020 </w:t>
      </w:r>
    </w:p>
    <w:p>
      <w:pPr>
        <w:pStyle w:val="46"/>
        <w:numPr>
          <w:ilvl w:val="0"/>
          <w:numId w:val="5"/>
        </w:numPr>
        <w:spacing w:before="156" w:beforeLines="50" w:line="312" w:lineRule="auto"/>
        <w:ind w:left="901" w:firstLineChars="0"/>
        <w:rPr>
          <w:highlight w:val="none"/>
        </w:rPr>
      </w:pPr>
      <w:r>
        <w:rPr>
          <w:highlight w:val="none"/>
        </w:rPr>
        <w:t>《数据中心供电与配电系统设计规范》（GB/T 50550-2010）</w:t>
      </w:r>
    </w:p>
    <w:p>
      <w:pPr>
        <w:pStyle w:val="46"/>
        <w:numPr>
          <w:ilvl w:val="0"/>
          <w:numId w:val="5"/>
        </w:numPr>
        <w:spacing w:before="156" w:beforeLines="50" w:line="312" w:lineRule="auto"/>
        <w:ind w:left="901" w:firstLineChars="0"/>
        <w:rPr>
          <w:highlight w:val="none"/>
        </w:rPr>
      </w:pPr>
      <w:r>
        <w:rPr>
          <w:rFonts w:hint="eastAsia"/>
          <w:highlight w:val="none"/>
          <w:lang w:eastAsia="zh-CN"/>
        </w:rPr>
        <w:t>《</w:t>
      </w:r>
      <w:r>
        <w:rPr>
          <w:rFonts w:hint="eastAsia"/>
          <w:highlight w:val="none"/>
        </w:rPr>
        <w:t>数据中心基础设施等级评价</w:t>
      </w:r>
      <w:r>
        <w:rPr>
          <w:rFonts w:hint="eastAsia"/>
          <w:highlight w:val="none"/>
          <w:lang w:eastAsia="zh-CN"/>
        </w:rPr>
        <w:t>》</w:t>
      </w:r>
      <w:r>
        <w:rPr>
          <w:rFonts w:hint="eastAsia"/>
          <w:highlight w:val="none"/>
        </w:rPr>
        <w:t>TCCUA 001-2019</w:t>
      </w:r>
    </w:p>
    <w:p>
      <w:pPr>
        <w:pStyle w:val="46"/>
        <w:numPr>
          <w:ilvl w:val="0"/>
          <w:numId w:val="5"/>
        </w:numPr>
        <w:spacing w:before="156" w:beforeLines="50" w:line="312" w:lineRule="auto"/>
        <w:ind w:left="901" w:firstLineChars="0"/>
        <w:rPr>
          <w:highlight w:val="none"/>
        </w:rPr>
      </w:pPr>
      <w:r>
        <w:rPr>
          <w:highlight w:val="none"/>
        </w:rPr>
        <w:t>《计算机场地安全要求》GB/T 9361-2011</w:t>
      </w:r>
    </w:p>
    <w:p>
      <w:pPr>
        <w:pStyle w:val="46"/>
        <w:numPr>
          <w:ilvl w:val="0"/>
          <w:numId w:val="5"/>
        </w:numPr>
        <w:spacing w:before="156" w:beforeLines="50" w:line="312" w:lineRule="auto"/>
        <w:ind w:left="901" w:firstLineChars="0"/>
        <w:rPr>
          <w:highlight w:val="none"/>
        </w:rPr>
      </w:pPr>
      <w:r>
        <w:rPr>
          <w:highlight w:val="none"/>
        </w:rPr>
        <w:t>《低压配电设计规范》GB 50054-2011</w:t>
      </w:r>
    </w:p>
    <w:p>
      <w:pPr>
        <w:pStyle w:val="46"/>
        <w:numPr>
          <w:ilvl w:val="0"/>
          <w:numId w:val="5"/>
        </w:numPr>
        <w:spacing w:before="156" w:beforeLines="50" w:line="312" w:lineRule="auto"/>
        <w:ind w:left="901" w:firstLineChars="0"/>
        <w:rPr>
          <w:highlight w:val="none"/>
        </w:rPr>
      </w:pPr>
      <w:r>
        <w:rPr>
          <w:highlight w:val="none"/>
        </w:rPr>
        <w:t>《建筑物防雷设计规范》GB 50057-2010</w:t>
      </w:r>
    </w:p>
    <w:p>
      <w:pPr>
        <w:pStyle w:val="46"/>
        <w:numPr>
          <w:ilvl w:val="0"/>
          <w:numId w:val="5"/>
        </w:numPr>
        <w:spacing w:before="156" w:beforeLines="50" w:line="312" w:lineRule="auto"/>
        <w:ind w:left="901" w:firstLineChars="0"/>
        <w:rPr>
          <w:highlight w:val="none"/>
        </w:rPr>
      </w:pPr>
      <w:r>
        <w:rPr>
          <w:highlight w:val="none"/>
        </w:rPr>
        <w:t>《建筑电气设计规范》（GB 50171-2018）</w:t>
      </w:r>
    </w:p>
    <w:p>
      <w:pPr>
        <w:pStyle w:val="46"/>
        <w:numPr>
          <w:ilvl w:val="0"/>
          <w:numId w:val="5"/>
        </w:numPr>
        <w:spacing w:before="156" w:beforeLines="50" w:line="312" w:lineRule="auto"/>
        <w:ind w:left="901" w:firstLineChars="0"/>
        <w:rPr>
          <w:highlight w:val="none"/>
        </w:rPr>
      </w:pPr>
      <w:r>
        <w:rPr>
          <w:highlight w:val="none"/>
        </w:rPr>
        <w:t>《建筑物电子信息系统防雷技术规范》GB50343-2012</w:t>
      </w:r>
    </w:p>
    <w:p>
      <w:pPr>
        <w:pStyle w:val="46"/>
        <w:numPr>
          <w:ilvl w:val="0"/>
          <w:numId w:val="5"/>
        </w:numPr>
        <w:spacing w:before="156" w:beforeLines="50" w:line="312" w:lineRule="auto"/>
        <w:ind w:left="901" w:firstLineChars="0"/>
        <w:rPr>
          <w:highlight w:val="none"/>
        </w:rPr>
      </w:pPr>
      <w:r>
        <w:rPr>
          <w:highlight w:val="none"/>
        </w:rPr>
        <w:t>《建筑与建筑群综合布线系统工程设计规范》GB/T 50311-20</w:t>
      </w:r>
      <w:r>
        <w:rPr>
          <w:rFonts w:hint="eastAsia"/>
          <w:highlight w:val="none"/>
          <w:lang w:val="en-US" w:eastAsia="zh-CN"/>
        </w:rPr>
        <w:t>19</w:t>
      </w:r>
    </w:p>
    <w:p>
      <w:pPr>
        <w:pStyle w:val="46"/>
        <w:numPr>
          <w:ilvl w:val="0"/>
          <w:numId w:val="5"/>
        </w:numPr>
        <w:spacing w:before="156" w:beforeLines="50" w:line="312" w:lineRule="auto"/>
        <w:ind w:left="901" w:firstLineChars="0"/>
        <w:rPr>
          <w:highlight w:val="none"/>
        </w:rPr>
      </w:pPr>
      <w:r>
        <w:rPr>
          <w:highlight w:val="none"/>
        </w:rPr>
        <w:t>《综合布线系统工程验收规范》GB/T 50312-2019</w:t>
      </w:r>
    </w:p>
    <w:p>
      <w:pPr>
        <w:pStyle w:val="46"/>
        <w:numPr>
          <w:ilvl w:val="0"/>
          <w:numId w:val="5"/>
        </w:numPr>
        <w:spacing w:before="156" w:beforeLines="50" w:line="312" w:lineRule="auto"/>
        <w:ind w:left="901" w:firstLineChars="0"/>
        <w:rPr>
          <w:highlight w:val="none"/>
        </w:rPr>
      </w:pPr>
      <w:r>
        <w:rPr>
          <w:highlight w:val="none"/>
        </w:rPr>
        <w:t>《民用闭路电视监控系统工程技术规范》GB50198-2011</w:t>
      </w:r>
    </w:p>
    <w:p>
      <w:pPr>
        <w:pStyle w:val="46"/>
        <w:numPr>
          <w:ilvl w:val="0"/>
          <w:numId w:val="5"/>
        </w:numPr>
        <w:spacing w:before="156" w:beforeLines="50" w:line="312" w:lineRule="auto"/>
        <w:ind w:left="901" w:firstLineChars="0"/>
        <w:rPr>
          <w:highlight w:val="none"/>
        </w:rPr>
      </w:pPr>
      <w:r>
        <w:rPr>
          <w:highlight w:val="none"/>
        </w:rPr>
        <w:t>《视频安防监控系统工程设计规范》GB 50395-2016；</w:t>
      </w:r>
    </w:p>
    <w:p>
      <w:pPr>
        <w:pStyle w:val="46"/>
        <w:numPr>
          <w:ilvl w:val="0"/>
          <w:numId w:val="5"/>
        </w:numPr>
        <w:spacing w:before="156" w:beforeLines="50" w:line="312" w:lineRule="auto"/>
        <w:ind w:left="901" w:firstLineChars="0"/>
        <w:rPr>
          <w:highlight w:val="none"/>
        </w:rPr>
      </w:pPr>
      <w:r>
        <w:rPr>
          <w:highlight w:val="none"/>
        </w:rPr>
        <w:t>《信息系统机房设计及施工规范》（GB 50313-2013）</w:t>
      </w:r>
    </w:p>
    <w:p>
      <w:pPr>
        <w:pStyle w:val="3"/>
        <w:bidi w:val="0"/>
        <w:ind w:left="482" w:leftChars="0" w:hanging="425" w:firstLineChars="0"/>
        <w:rPr>
          <w:rFonts w:hint="eastAsia"/>
          <w:highlight w:val="none"/>
        </w:rPr>
      </w:pPr>
      <w:bookmarkStart w:id="7" w:name="_Toc16610"/>
      <w:r>
        <w:rPr>
          <w:rFonts w:hint="eastAsia"/>
          <w:highlight w:val="none"/>
        </w:rPr>
        <w:t>设计原则</w:t>
      </w:r>
      <w:bookmarkEnd w:id="7"/>
    </w:p>
    <w:p>
      <w:pPr>
        <w:spacing w:line="360" w:lineRule="auto"/>
        <w:ind w:firstLine="600" w:firstLineChars="250"/>
        <w:rPr>
          <w:rFonts w:hint="eastAsia" w:ascii="宋体"/>
          <w:color w:val="000000"/>
          <w:sz w:val="24"/>
          <w:szCs w:val="24"/>
          <w:highlight w:val="none"/>
        </w:rPr>
      </w:pPr>
      <w:r>
        <w:rPr>
          <w:rFonts w:hint="eastAsia" w:hAnsi="宋体"/>
          <w:color w:val="000000"/>
          <w:sz w:val="24"/>
          <w:szCs w:val="24"/>
          <w:highlight w:val="none"/>
        </w:rPr>
        <w:t>贯彻“预防为主”、“人防与科技防相结合”的安全管理方针</w:t>
      </w:r>
      <w:r>
        <w:rPr>
          <w:rFonts w:hint="eastAsia" w:hAnsi="宋体"/>
          <w:color w:val="000000"/>
          <w:sz w:val="24"/>
          <w:szCs w:val="24"/>
          <w:highlight w:val="none"/>
          <w:lang w:eastAsia="zh-CN"/>
        </w:rPr>
        <w:t>。</w:t>
      </w:r>
      <w:r>
        <w:rPr>
          <w:rFonts w:hint="eastAsia" w:hAnsi="宋体"/>
          <w:color w:val="000000"/>
          <w:sz w:val="24"/>
          <w:szCs w:val="24"/>
          <w:highlight w:val="none"/>
        </w:rPr>
        <w:t>系统设计和设备选型，充分考虑系统的</w:t>
      </w:r>
      <w:r>
        <w:rPr>
          <w:rFonts w:hint="eastAsia" w:hAnsi="宋体"/>
          <w:color w:val="000000"/>
          <w:sz w:val="24"/>
          <w:szCs w:val="24"/>
          <w:highlight w:val="none"/>
          <w:lang w:val="en-US" w:eastAsia="zh-CN"/>
        </w:rPr>
        <w:t>标准</w:t>
      </w:r>
      <w:r>
        <w:rPr>
          <w:rFonts w:hint="eastAsia" w:hAnsi="宋体"/>
          <w:color w:val="000000"/>
          <w:sz w:val="24"/>
          <w:szCs w:val="24"/>
          <w:highlight w:val="none"/>
        </w:rPr>
        <w:t>性、实用性</w:t>
      </w:r>
      <w:r>
        <w:rPr>
          <w:rFonts w:hint="eastAsia" w:hAnsi="宋体"/>
          <w:color w:val="000000"/>
          <w:sz w:val="24"/>
          <w:szCs w:val="24"/>
          <w:highlight w:val="none"/>
          <w:lang w:val="en-US" w:eastAsia="zh-CN"/>
        </w:rPr>
        <w:t>、</w:t>
      </w:r>
      <w:r>
        <w:rPr>
          <w:rFonts w:hint="eastAsia" w:hAnsi="宋体"/>
          <w:color w:val="000000"/>
          <w:sz w:val="24"/>
          <w:szCs w:val="24"/>
          <w:highlight w:val="none"/>
        </w:rPr>
        <w:t>先进性和经济性。本项目</w:t>
      </w:r>
      <w:r>
        <w:rPr>
          <w:rFonts w:hint="eastAsia" w:ascii="宋体" w:hAnsi="宋体"/>
          <w:color w:val="000000"/>
          <w:sz w:val="24"/>
          <w:szCs w:val="24"/>
          <w:highlight w:val="none"/>
        </w:rPr>
        <w:t>方案设计遵循技术先进、功能齐全、性能稳定、节约成本的原则。并综合考虑施工、维护及操作因素，并将为今后的发展、扩建、改造等因素留有扩充的余地。</w:t>
      </w:r>
    </w:p>
    <w:p>
      <w:pPr>
        <w:pStyle w:val="14"/>
        <w:spacing w:before="156" w:after="156" w:line="240" w:lineRule="auto"/>
        <w:ind w:firstLine="542" w:firstLineChars="225"/>
        <w:rPr>
          <w:rFonts w:hint="eastAsia" w:ascii="宋体" w:hAnsi="宋体"/>
          <w:b/>
          <w:highlight w:val="none"/>
        </w:rPr>
      </w:pPr>
      <w:r>
        <w:rPr>
          <w:rFonts w:hint="eastAsia" w:ascii="宋体" w:hAnsi="宋体"/>
          <w:b/>
          <w:highlight w:val="none"/>
          <w:lang w:val="en-US" w:eastAsia="zh-CN"/>
        </w:rPr>
        <w:t>1</w:t>
      </w:r>
      <w:r>
        <w:rPr>
          <w:rFonts w:hint="eastAsia" w:ascii="宋体" w:hAnsi="宋体"/>
          <w:b/>
          <w:highlight w:val="none"/>
        </w:rPr>
        <w:t>）遵守标准原则</w:t>
      </w:r>
    </w:p>
    <w:p>
      <w:pPr>
        <w:ind w:firstLine="480"/>
        <w:rPr>
          <w:highlight w:val="none"/>
        </w:rPr>
      </w:pPr>
      <w:r>
        <w:rPr>
          <w:rFonts w:hint="eastAsia"/>
          <w:highlight w:val="none"/>
          <w:lang w:val="en-US" w:eastAsia="zh-CN"/>
        </w:rPr>
        <w:t>本项目产品选型中，</w:t>
      </w:r>
      <w:r>
        <w:rPr>
          <w:rFonts w:hint="eastAsia"/>
          <w:highlight w:val="none"/>
        </w:rPr>
        <w:t>选用标准化接口和协议，遵循国际标准，符合国家公安部门有关标准与规范。在满足未来业务发展对系统规模和功能可扩展性的要求同时，保证系统的可靠稳定性。支持与其它标准硬件及不同生产商的设备互联。</w:t>
      </w:r>
    </w:p>
    <w:p>
      <w:pPr>
        <w:pStyle w:val="14"/>
        <w:spacing w:before="156" w:after="156" w:line="240" w:lineRule="auto"/>
        <w:ind w:firstLine="542" w:firstLineChars="225"/>
        <w:rPr>
          <w:rFonts w:hint="eastAsia" w:ascii="宋体" w:hAnsi="宋体"/>
          <w:b/>
          <w:highlight w:val="none"/>
        </w:rPr>
      </w:pPr>
      <w:r>
        <w:rPr>
          <w:rFonts w:hint="eastAsia" w:ascii="宋体" w:hAnsi="宋体"/>
          <w:b/>
          <w:highlight w:val="none"/>
          <w:lang w:val="en-US" w:eastAsia="zh-CN"/>
        </w:rPr>
        <w:t>2</w:t>
      </w:r>
      <w:r>
        <w:rPr>
          <w:rFonts w:hint="eastAsia" w:ascii="宋体" w:hAnsi="宋体"/>
          <w:b/>
          <w:highlight w:val="none"/>
        </w:rPr>
        <w:t>）实用性原则</w:t>
      </w:r>
    </w:p>
    <w:p>
      <w:pPr>
        <w:ind w:firstLine="480"/>
        <w:rPr>
          <w:highlight w:val="none"/>
        </w:rPr>
      </w:pPr>
      <w:r>
        <w:rPr>
          <w:rFonts w:hint="eastAsia"/>
          <w:highlight w:val="none"/>
        </w:rPr>
        <w:t>在满足功能、质量、性能、价格和服务等各方面要求的前提下，注重实用功能，追求最优化的系统设备配置，以尽量降低系统造价；求得先进性与经济性的平衡，具有较高的性能价格比和较低的维护开销。</w:t>
      </w:r>
    </w:p>
    <w:p>
      <w:pPr>
        <w:pStyle w:val="14"/>
        <w:spacing w:before="156" w:after="156" w:line="240" w:lineRule="auto"/>
        <w:ind w:firstLine="542" w:firstLineChars="225"/>
        <w:rPr>
          <w:rFonts w:hint="eastAsia" w:ascii="宋体" w:hAnsi="宋体"/>
          <w:b/>
          <w:highlight w:val="none"/>
        </w:rPr>
      </w:pPr>
      <w:r>
        <w:rPr>
          <w:rFonts w:hint="eastAsia" w:ascii="宋体" w:hAnsi="宋体"/>
          <w:b/>
          <w:highlight w:val="none"/>
          <w:lang w:val="en-US" w:eastAsia="zh-CN"/>
        </w:rPr>
        <w:t>3</w:t>
      </w:r>
      <w:r>
        <w:rPr>
          <w:rFonts w:hint="eastAsia" w:ascii="宋体" w:hAnsi="宋体"/>
          <w:b/>
          <w:highlight w:val="none"/>
        </w:rPr>
        <w:t>）先进性原则</w:t>
      </w:r>
    </w:p>
    <w:p>
      <w:pPr>
        <w:ind w:firstLine="480"/>
        <w:rPr>
          <w:rFonts w:hint="eastAsia"/>
          <w:highlight w:val="none"/>
        </w:rPr>
      </w:pPr>
      <w:r>
        <w:rPr>
          <w:rFonts w:hint="eastAsia"/>
          <w:highlight w:val="none"/>
        </w:rPr>
        <w:t>本系统设计遵循系统工程的设计准则，通过科学合理地设计，既防止片面追求某一高指标，又充分体现系统的先进性，最大程度地采用成熟、可继承、具备广阔发展前景的先进技术，使系统能在未来数年内不落后。</w:t>
      </w:r>
    </w:p>
    <w:p>
      <w:pPr>
        <w:pStyle w:val="14"/>
        <w:spacing w:before="156" w:after="156" w:line="240" w:lineRule="auto"/>
        <w:ind w:firstLine="542" w:firstLineChars="225"/>
        <w:rPr>
          <w:rFonts w:ascii="宋体" w:hAnsi="宋体"/>
          <w:b/>
          <w:highlight w:val="none"/>
        </w:rPr>
      </w:pPr>
      <w:r>
        <w:rPr>
          <w:rFonts w:hint="eastAsia" w:ascii="宋体" w:hAnsi="宋体"/>
          <w:b/>
          <w:highlight w:val="none"/>
          <w:lang w:val="en-US" w:eastAsia="zh-CN"/>
        </w:rPr>
        <w:t>4</w:t>
      </w:r>
      <w:r>
        <w:rPr>
          <w:rFonts w:hint="eastAsia" w:ascii="宋体" w:hAnsi="宋体"/>
          <w:b/>
          <w:highlight w:val="none"/>
        </w:rPr>
        <w:t>）经济性</w:t>
      </w:r>
    </w:p>
    <w:p>
      <w:pPr>
        <w:pStyle w:val="34"/>
        <w:rPr>
          <w:highlight w:val="none"/>
        </w:rPr>
      </w:pPr>
      <w:r>
        <w:rPr>
          <w:rFonts w:hint="eastAsia"/>
          <w:highlight w:val="none"/>
          <w:lang w:val="en-US" w:eastAsia="zh-CN"/>
        </w:rPr>
        <w:t>安全管理中心的</w:t>
      </w:r>
      <w:r>
        <w:rPr>
          <w:rFonts w:hint="eastAsia"/>
          <w:highlight w:val="none"/>
        </w:rPr>
        <w:t>建设能够实现最优的系统性能价格比，充分利用有限的资金，创造巨大的社会效益和经济效益。</w:t>
      </w:r>
    </w:p>
    <w:p>
      <w:pPr>
        <w:pStyle w:val="3"/>
        <w:bidi w:val="0"/>
        <w:ind w:left="482" w:leftChars="0" w:hanging="425" w:firstLineChars="0"/>
        <w:rPr>
          <w:highlight w:val="none"/>
        </w:rPr>
      </w:pPr>
      <w:bookmarkStart w:id="8" w:name="_Toc19738"/>
      <w:r>
        <w:rPr>
          <w:highlight w:val="none"/>
        </w:rPr>
        <w:t>建设的必要性</w:t>
      </w:r>
      <w:bookmarkEnd w:id="8"/>
    </w:p>
    <w:p>
      <w:pPr>
        <w:spacing w:before="120" w:after="120"/>
        <w:ind w:firstLine="480"/>
        <w:rPr>
          <w:rFonts w:hint="default" w:eastAsia="宋体"/>
          <w:highlight w:val="none"/>
          <w:lang w:val="en-US" w:eastAsia="zh-CN"/>
        </w:rPr>
      </w:pPr>
      <w:r>
        <w:rPr>
          <w:rFonts w:hint="eastAsia" w:ascii="宋体" w:hAnsi="宋体" w:cs="宋体"/>
          <w:szCs w:val="20"/>
          <w:highlight w:val="none"/>
        </w:rPr>
        <w:t>当前，高校的内外部环境发生了巨大变化，各种因素交织，高校突发事件类型增多，频率加大，突发性增强，影响加剧，加强校园</w:t>
      </w:r>
      <w:r>
        <w:rPr>
          <w:rFonts w:hint="eastAsia" w:ascii="宋体" w:hAnsi="宋体" w:cs="宋体"/>
          <w:szCs w:val="20"/>
          <w:highlight w:val="none"/>
          <w:lang w:val="en-US" w:eastAsia="zh-CN"/>
        </w:rPr>
        <w:t>安全</w:t>
      </w:r>
      <w:r>
        <w:rPr>
          <w:rFonts w:hint="eastAsia" w:ascii="宋体" w:hAnsi="宋体" w:cs="宋体"/>
          <w:szCs w:val="20"/>
          <w:highlight w:val="none"/>
        </w:rPr>
        <w:t>建设工作迫在眉睫。结合</w:t>
      </w:r>
      <w:r>
        <w:rPr>
          <w:rFonts w:hint="eastAsia" w:ascii="宋体" w:hAnsi="宋体" w:cs="宋体"/>
          <w:szCs w:val="20"/>
          <w:highlight w:val="none"/>
          <w:lang w:val="en-US" w:eastAsia="zh-CN"/>
        </w:rPr>
        <w:t>汕头职业技术学院</w:t>
      </w:r>
      <w:r>
        <w:rPr>
          <w:rFonts w:hint="eastAsia" w:ascii="宋体" w:hAnsi="宋体" w:cs="宋体"/>
          <w:szCs w:val="20"/>
          <w:highlight w:val="none"/>
        </w:rPr>
        <w:t>实际</w:t>
      </w:r>
      <w:r>
        <w:rPr>
          <w:rFonts w:hint="eastAsia" w:ascii="宋体" w:hAnsi="宋体" w:cs="宋体"/>
          <w:szCs w:val="20"/>
          <w:highlight w:val="none"/>
          <w:lang w:val="en-US" w:eastAsia="zh-CN"/>
        </w:rPr>
        <w:t>情况</w:t>
      </w:r>
      <w:r>
        <w:rPr>
          <w:rFonts w:hint="eastAsia" w:ascii="宋体" w:hAnsi="宋体" w:cs="宋体"/>
          <w:szCs w:val="20"/>
          <w:highlight w:val="none"/>
        </w:rPr>
        <w:t>，从维稳的高度在</w:t>
      </w:r>
      <w:r>
        <w:rPr>
          <w:rFonts w:hint="eastAsia" w:ascii="宋体" w:hAnsi="宋体" w:cs="宋体"/>
          <w:szCs w:val="20"/>
          <w:highlight w:val="none"/>
          <w:lang w:eastAsia="zh-CN"/>
        </w:rPr>
        <w:t>校本部</w:t>
      </w:r>
      <w:r>
        <w:rPr>
          <w:rFonts w:hint="eastAsia" w:ascii="宋体" w:hAnsi="宋体" w:cs="宋体"/>
          <w:szCs w:val="20"/>
          <w:highlight w:val="none"/>
        </w:rPr>
        <w:t>建立</w:t>
      </w:r>
      <w:r>
        <w:rPr>
          <w:rFonts w:hint="eastAsia" w:ascii="宋体" w:hAnsi="宋体" w:cs="宋体"/>
          <w:szCs w:val="20"/>
          <w:highlight w:val="none"/>
          <w:lang w:val="en-US" w:eastAsia="zh-CN"/>
        </w:rPr>
        <w:t>安全管理中心</w:t>
      </w:r>
      <w:r>
        <w:rPr>
          <w:rFonts w:hint="eastAsia" w:ascii="宋体" w:hAnsi="宋体" w:cs="宋体"/>
          <w:szCs w:val="20"/>
          <w:highlight w:val="none"/>
          <w:lang w:eastAsia="zh-CN"/>
        </w:rPr>
        <w:t>。</w:t>
      </w:r>
      <w:r>
        <w:rPr>
          <w:rFonts w:hint="eastAsia" w:ascii="宋体" w:hAnsi="宋体" w:cs="宋体"/>
          <w:szCs w:val="20"/>
          <w:highlight w:val="none"/>
          <w:lang w:val="en-US" w:eastAsia="zh-CN"/>
        </w:rPr>
        <w:t>本次建设</w:t>
      </w:r>
      <w:r>
        <w:rPr>
          <w:rFonts w:hint="eastAsia" w:ascii="宋体" w:hAnsi="宋体" w:cs="宋体"/>
          <w:szCs w:val="20"/>
          <w:highlight w:val="none"/>
        </w:rPr>
        <w:t>对校园安全和应急处置进行统一管控和调度</w:t>
      </w:r>
      <w:r>
        <w:rPr>
          <w:rFonts w:hint="eastAsia" w:ascii="宋体" w:hAnsi="宋体" w:cs="宋体"/>
          <w:szCs w:val="20"/>
          <w:highlight w:val="none"/>
          <w:lang w:val="en-US" w:eastAsia="zh-CN"/>
        </w:rPr>
        <w:t>具有重要意义：</w:t>
      </w:r>
    </w:p>
    <w:p>
      <w:pPr>
        <w:spacing w:before="120" w:after="120"/>
        <w:ind w:firstLine="480"/>
        <w:rPr>
          <w:highlight w:val="none"/>
        </w:rPr>
      </w:pPr>
      <w:r>
        <w:rPr>
          <w:rFonts w:hint="eastAsia" w:ascii="宋体" w:hAnsi="宋体" w:cs="宋体"/>
          <w:szCs w:val="20"/>
          <w:highlight w:val="none"/>
          <w:lang w:val="en-US" w:eastAsia="zh-CN"/>
        </w:rPr>
        <w:t>安全管理中心是学院技防系统的管理中枢。通过监控系统与防盗报警系统、消防等其他安全防范体系联动运行，</w:t>
      </w:r>
      <w:r>
        <w:rPr>
          <w:rFonts w:hint="eastAsia" w:ascii="宋体" w:hAnsi="宋体" w:cs="宋体"/>
          <w:szCs w:val="20"/>
          <w:highlight w:val="none"/>
        </w:rPr>
        <w:t>整合学院现有</w:t>
      </w:r>
      <w:r>
        <w:rPr>
          <w:rFonts w:hint="eastAsia" w:ascii="宋体" w:hAnsi="宋体" w:cs="宋体"/>
          <w:szCs w:val="20"/>
          <w:highlight w:val="none"/>
          <w:lang w:val="en-US" w:eastAsia="zh-CN"/>
        </w:rPr>
        <w:t>技防力量，使学校防范能力更加强大，能及时发现事故和事件的隐患，预防破坏和避免造成不好影响；</w:t>
      </w:r>
      <w:r>
        <w:rPr>
          <w:rFonts w:hint="eastAsia" w:ascii="宋体" w:hAnsi="宋体" w:cs="宋体"/>
          <w:szCs w:val="20"/>
          <w:highlight w:val="none"/>
        </w:rPr>
        <w:t>有效整合校内外资源，全力实现统一指挥，综合联动，高效应对，处置有力的建设目标。立足帮助师生解决应急问题，及时处置突发事件，预防和减少突发事件的发生，在突发事件发生时最大限度控制人员伤害和财产损失，维护校园的安全稳定。</w:t>
      </w:r>
    </w:p>
    <w:p>
      <w:pPr>
        <w:pStyle w:val="2"/>
        <w:bidi w:val="0"/>
        <w:ind w:left="482" w:leftChars="0" w:hanging="425" w:firstLineChars="0"/>
        <w:rPr>
          <w:highlight w:val="none"/>
        </w:rPr>
      </w:pPr>
      <w:bookmarkStart w:id="9" w:name="_Toc12305"/>
      <w:r>
        <w:rPr>
          <w:rFonts w:hint="eastAsia"/>
          <w:highlight w:val="none"/>
        </w:rPr>
        <w:t>现状与需求分析</w:t>
      </w:r>
      <w:bookmarkEnd w:id="9"/>
    </w:p>
    <w:p>
      <w:pPr>
        <w:pStyle w:val="3"/>
        <w:bidi w:val="0"/>
        <w:ind w:left="482" w:leftChars="0" w:hanging="425" w:firstLineChars="0"/>
        <w:rPr>
          <w:highlight w:val="none"/>
        </w:rPr>
      </w:pPr>
      <w:bookmarkStart w:id="10" w:name="_Toc11143"/>
      <w:r>
        <w:rPr>
          <w:highlight w:val="none"/>
        </w:rPr>
        <w:t>现状分析</w:t>
      </w:r>
      <w:bookmarkEnd w:id="10"/>
    </w:p>
    <w:p>
      <w:pPr>
        <w:pStyle w:val="4"/>
        <w:bidi w:val="0"/>
        <w:ind w:left="482" w:leftChars="0" w:hanging="425" w:firstLineChars="0"/>
        <w:rPr>
          <w:highlight w:val="none"/>
        </w:rPr>
      </w:pPr>
      <w:bookmarkStart w:id="11" w:name="_Toc27396"/>
      <w:r>
        <w:rPr>
          <w:rFonts w:hint="eastAsia"/>
          <w:highlight w:val="none"/>
          <w:lang w:val="en-US" w:eastAsia="zh-CN"/>
        </w:rPr>
        <w:t>监控中心现状</w:t>
      </w:r>
      <w:bookmarkEnd w:id="11"/>
    </w:p>
    <w:p>
      <w:pPr>
        <w:keepNext w:val="0"/>
        <w:keepLines w:val="0"/>
        <w:pageBreakBefore w:val="0"/>
        <w:widowControl w:val="0"/>
        <w:kinsoku/>
        <w:wordWrap/>
        <w:overflowPunct/>
        <w:topLinePunct w:val="0"/>
        <w:autoSpaceDE/>
        <w:autoSpaceDN/>
        <w:bidi w:val="0"/>
        <w:adjustRightInd/>
        <w:snapToGrid/>
        <w:spacing w:after="0" w:afterLines="0"/>
        <w:textAlignment w:val="auto"/>
        <w:rPr>
          <w:rFonts w:hint="eastAsia"/>
          <w:highlight w:val="none"/>
          <w:lang w:val="en-US" w:eastAsia="zh-CN"/>
        </w:rPr>
      </w:pPr>
      <w:r>
        <w:rPr>
          <w:rFonts w:hint="eastAsia"/>
          <w:highlight w:val="none"/>
          <w:lang w:val="en-US" w:eastAsia="zh-CN"/>
        </w:rPr>
        <w:t>目前汕头职业技术学院校本部目前未规划有整个校园的监控室。目前学院视频监控的调阅仍以电脑客户端调阅为主。近年来，学院于第三食堂一层新建有一间监控室，经调研，因存在较多缺陷，不建议利旧或使用。</w:t>
      </w:r>
    </w:p>
    <w:p>
      <w:pPr>
        <w:pStyle w:val="34"/>
        <w:rPr>
          <w:rFonts w:hint="eastAsia"/>
          <w:highlight w:val="none"/>
          <w:lang w:val="en-US" w:eastAsia="zh-CN"/>
        </w:rPr>
      </w:pPr>
      <w:r>
        <w:rPr>
          <w:rFonts w:hint="eastAsia"/>
          <w:highlight w:val="none"/>
          <w:lang w:val="en-US" w:eastAsia="zh-CN"/>
        </w:rPr>
        <w:t>现在监控室情况分析：</w:t>
      </w:r>
    </w:p>
    <w:p>
      <w:pPr>
        <w:pStyle w:val="34"/>
        <w:numPr>
          <w:ilvl w:val="0"/>
          <w:numId w:val="6"/>
        </w:numPr>
        <w:rPr>
          <w:rFonts w:hint="default"/>
          <w:highlight w:val="none"/>
          <w:lang w:val="en-US" w:eastAsia="zh-CN"/>
        </w:rPr>
      </w:pPr>
      <w:r>
        <w:rPr>
          <w:rFonts w:hint="eastAsia"/>
          <w:highlight w:val="none"/>
          <w:lang w:val="en-US" w:eastAsia="zh-CN"/>
        </w:rPr>
        <w:t>面积不足：当前监控室仅三十多平方，无法满足设备摆放和安全管理中心的建设需求；</w:t>
      </w:r>
    </w:p>
    <w:p>
      <w:pPr>
        <w:pStyle w:val="34"/>
        <w:numPr>
          <w:ilvl w:val="0"/>
          <w:numId w:val="6"/>
        </w:numPr>
        <w:rPr>
          <w:rFonts w:hint="default"/>
          <w:highlight w:val="none"/>
          <w:lang w:val="en-US" w:eastAsia="zh-CN"/>
        </w:rPr>
      </w:pPr>
      <w:r>
        <w:rPr>
          <w:rFonts w:hint="eastAsia"/>
          <w:highlight w:val="none"/>
          <w:lang w:val="en-US" w:eastAsia="zh-CN"/>
        </w:rPr>
        <w:t>地点偏僻：该监控室位于第三食堂首层，选址偏僻，不利于学生报警和安保人员出警；</w:t>
      </w:r>
    </w:p>
    <w:p>
      <w:pPr>
        <w:pStyle w:val="34"/>
        <w:numPr>
          <w:ilvl w:val="0"/>
          <w:numId w:val="6"/>
        </w:numPr>
        <w:rPr>
          <w:rFonts w:hint="eastAsia"/>
          <w:highlight w:val="none"/>
          <w:lang w:val="en-US" w:eastAsia="zh-CN"/>
        </w:rPr>
      </w:pPr>
      <w:r>
        <w:rPr>
          <w:rFonts w:hint="eastAsia"/>
          <w:highlight w:val="none"/>
          <w:lang w:val="en-US" w:eastAsia="zh-CN"/>
        </w:rPr>
        <w:t>管控区域小：该监控室仅接入七号学生宿舍、八号学生宿舍、第三实训楼和第三食堂四栋新建建筑物的内部视频监控，学院其它建筑和室外重要区域均未接入；</w:t>
      </w:r>
    </w:p>
    <w:p>
      <w:pPr>
        <w:pStyle w:val="34"/>
        <w:numPr>
          <w:ilvl w:val="0"/>
          <w:numId w:val="6"/>
        </w:numPr>
        <w:rPr>
          <w:rFonts w:hint="default"/>
          <w:highlight w:val="none"/>
          <w:lang w:val="en-US" w:eastAsia="zh-CN"/>
        </w:rPr>
      </w:pPr>
      <w:r>
        <w:rPr>
          <w:rFonts w:hint="eastAsia"/>
          <w:highlight w:val="none"/>
          <w:lang w:val="en-US" w:eastAsia="zh-CN"/>
        </w:rPr>
        <w:t>系统独立：学院整体视频监控系统从2010年开始建设，经历多次扩建和升级后，最终采用“大华”品牌的视频监控平台，并整合接入380多路监控摄像机。但上述四栋新建建筑的视频监控系统为土建承包单位独立建设，采选用“德尔克”品牌的监控设备，两套监控系统并未进行对接。</w:t>
      </w:r>
    </w:p>
    <w:p>
      <w:pPr>
        <w:keepNext w:val="0"/>
        <w:keepLines w:val="0"/>
        <w:pageBreakBefore w:val="0"/>
        <w:widowControl w:val="0"/>
        <w:kinsoku/>
        <w:wordWrap/>
        <w:overflowPunct/>
        <w:topLinePunct w:val="0"/>
        <w:autoSpaceDE/>
        <w:autoSpaceDN/>
        <w:bidi w:val="0"/>
        <w:adjustRightInd/>
        <w:snapToGrid/>
        <w:spacing w:before="0" w:beforeLines="0" w:after="0" w:afterLines="0"/>
        <w:ind w:firstLine="0" w:firstLineChars="0"/>
        <w:jc w:val="center"/>
        <w:textAlignment w:val="auto"/>
        <w:rPr>
          <w:rFonts w:hint="default"/>
          <w:highlight w:val="none"/>
          <w:lang w:val="en-US" w:eastAsia="zh-CN"/>
        </w:rPr>
      </w:pPr>
      <w:r>
        <w:rPr>
          <w:rFonts w:hint="default"/>
          <w:highlight w:val="none"/>
          <w:lang w:val="en-US" w:eastAsia="zh-CN"/>
        </w:rPr>
        <w:drawing>
          <wp:inline distT="0" distB="0" distL="114300" distR="114300">
            <wp:extent cx="4841875" cy="2296795"/>
            <wp:effectExtent l="0" t="0" r="15875" b="8255"/>
            <wp:docPr id="2" name="图片 3" descr="8f83c6b69de7fd2c09c41bb9ae50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8f83c6b69de7fd2c09c41bb9ae50842"/>
                    <pic:cNvPicPr>
                      <a:picLocks noChangeAspect="1"/>
                    </pic:cNvPicPr>
                  </pic:nvPicPr>
                  <pic:blipFill>
                    <a:blip r:embed="rId15"/>
                    <a:stretch>
                      <a:fillRect/>
                    </a:stretch>
                  </pic:blipFill>
                  <pic:spPr>
                    <a:xfrm>
                      <a:off x="0" y="0"/>
                      <a:ext cx="4841875" cy="2296795"/>
                    </a:xfrm>
                    <a:prstGeom prst="rect">
                      <a:avLst/>
                    </a:prstGeom>
                    <a:noFill/>
                    <a:ln>
                      <a:noFill/>
                    </a:ln>
                  </pic:spPr>
                </pic:pic>
              </a:graphicData>
            </a:graphic>
          </wp:inline>
        </w:drawing>
      </w:r>
    </w:p>
    <w:p>
      <w:pPr>
        <w:ind w:left="0" w:leftChars="0" w:firstLine="0" w:firstLineChars="0"/>
        <w:jc w:val="center"/>
        <w:rPr>
          <w:rFonts w:hint="default"/>
          <w:highlight w:val="none"/>
          <w:lang w:val="en-US" w:eastAsia="zh-CN"/>
        </w:rPr>
      </w:pPr>
      <w:r>
        <w:rPr>
          <w:rFonts w:hint="eastAsia" w:ascii="黑体" w:hAnsi="黑体" w:eastAsia="黑体" w:cs="黑体"/>
          <w:sz w:val="22"/>
          <w:szCs w:val="22"/>
          <w:highlight w:val="none"/>
          <w:u w:val="single"/>
          <w:lang w:val="en-US" w:eastAsia="zh-CN"/>
        </w:rPr>
        <w:t>图：监控室现状照片</w:t>
      </w:r>
    </w:p>
    <w:p>
      <w:pPr>
        <w:pStyle w:val="4"/>
        <w:bidi w:val="0"/>
        <w:ind w:left="482" w:leftChars="0" w:hanging="425" w:firstLineChars="0"/>
        <w:rPr>
          <w:rFonts w:hint="eastAsia"/>
          <w:highlight w:val="none"/>
          <w:lang w:val="en-US" w:eastAsia="zh-CN"/>
        </w:rPr>
      </w:pPr>
      <w:bookmarkStart w:id="12" w:name="_Toc31263"/>
      <w:r>
        <w:rPr>
          <w:rFonts w:hint="eastAsia"/>
          <w:highlight w:val="none"/>
          <w:lang w:val="en-US" w:eastAsia="zh-CN"/>
        </w:rPr>
        <w:t>视频专网现状</w:t>
      </w:r>
      <w:bookmarkEnd w:id="12"/>
    </w:p>
    <w:p>
      <w:pPr>
        <w:spacing w:before="156" w:beforeLines="50"/>
        <w:ind w:firstLine="480"/>
        <w:rPr>
          <w:rFonts w:hint="default"/>
          <w:b/>
          <w:bCs/>
          <w:color w:val="FF0000"/>
          <w:highlight w:val="none"/>
          <w:lang w:val="en-US" w:eastAsia="zh-CN"/>
        </w:rPr>
      </w:pPr>
      <w:r>
        <w:rPr>
          <w:rFonts w:hint="eastAsia" w:ascii="宋体" w:hAnsi="宋体"/>
          <w:szCs w:val="24"/>
          <w:highlight w:val="none"/>
          <w:lang w:val="en-US" w:eastAsia="zh-CN"/>
        </w:rPr>
        <w:t>学院的监控网络共两套。第一套网络从2013年开始建设，</w:t>
      </w:r>
      <w:r>
        <w:rPr>
          <w:rFonts w:hint="eastAsia" w:asciiTheme="minorEastAsia" w:hAnsiTheme="minorEastAsia"/>
          <w:szCs w:val="24"/>
          <w:highlight w:val="none"/>
          <w:lang w:val="en-US" w:eastAsia="zh-CN"/>
        </w:rPr>
        <w:t>经后续多个视频监控系统的扩建和维修项目调整和优化后，仍作为主要使用的监控专网。该网络与其它网络物理隔离，总体网络架构为星型架构，以</w:t>
      </w:r>
      <w:r>
        <w:rPr>
          <w:rFonts w:hint="eastAsia" w:ascii="宋体" w:hAnsi="宋体"/>
          <w:szCs w:val="24"/>
          <w:highlight w:val="none"/>
        </w:rPr>
        <w:t>图书信息大楼五楼网络机房</w:t>
      </w:r>
      <w:r>
        <w:rPr>
          <w:rFonts w:hint="eastAsia" w:ascii="宋体" w:hAnsi="宋体"/>
          <w:szCs w:val="24"/>
          <w:highlight w:val="none"/>
          <w:lang w:val="en-US" w:eastAsia="zh-CN"/>
        </w:rPr>
        <w:t>为中心。除</w:t>
      </w:r>
      <w:r>
        <w:rPr>
          <w:rFonts w:hint="eastAsia"/>
          <w:highlight w:val="none"/>
          <w:lang w:val="en-US" w:eastAsia="zh-CN"/>
        </w:rPr>
        <w:t>七号学生宿舍、八号学生宿舍、第三实训楼和第三食堂四栋新建建筑物</w:t>
      </w:r>
      <w:r>
        <w:rPr>
          <w:rFonts w:hint="eastAsia" w:ascii="宋体" w:hAnsi="宋体"/>
          <w:szCs w:val="24"/>
          <w:highlight w:val="none"/>
          <w:lang w:val="en-US" w:eastAsia="zh-CN"/>
        </w:rPr>
        <w:t>外，已基本完成了整个学院的网络覆盖（为区分，以下简称为</w:t>
      </w:r>
      <w:r>
        <w:rPr>
          <w:rFonts w:hint="eastAsia" w:ascii="宋体" w:hAnsi="宋体"/>
          <w:b/>
          <w:bCs/>
          <w:szCs w:val="24"/>
          <w:highlight w:val="none"/>
          <w:lang w:val="en-US" w:eastAsia="zh-CN"/>
        </w:rPr>
        <w:t>学院视频专网</w:t>
      </w:r>
      <w:r>
        <w:rPr>
          <w:rFonts w:hint="eastAsia" w:ascii="宋体" w:hAnsi="宋体"/>
          <w:szCs w:val="24"/>
          <w:highlight w:val="none"/>
          <w:lang w:val="en-US" w:eastAsia="zh-CN"/>
        </w:rPr>
        <w:t>）；第二套网络为近年建设</w:t>
      </w:r>
      <w:r>
        <w:rPr>
          <w:rFonts w:hint="eastAsia"/>
          <w:highlight w:val="none"/>
          <w:lang w:val="en-US" w:eastAsia="zh-CN"/>
        </w:rPr>
        <w:t>，仅覆盖四栋新建建筑物，</w:t>
      </w:r>
      <w:r>
        <w:rPr>
          <w:rFonts w:hint="eastAsia" w:asciiTheme="minorEastAsia" w:hAnsiTheme="minorEastAsia"/>
          <w:szCs w:val="24"/>
          <w:highlight w:val="none"/>
          <w:lang w:val="en-US" w:eastAsia="zh-CN"/>
        </w:rPr>
        <w:t>与其它网络物理隔离，</w:t>
      </w:r>
      <w:r>
        <w:rPr>
          <w:rFonts w:hint="eastAsia"/>
          <w:highlight w:val="none"/>
          <w:lang w:val="en-US" w:eastAsia="zh-CN"/>
        </w:rPr>
        <w:t>以第三食堂为核心，连接七号学生宿舍、八号学生宿舍和第三实训楼(</w:t>
      </w:r>
      <w:r>
        <w:rPr>
          <w:rFonts w:hint="eastAsia" w:ascii="宋体" w:hAnsi="宋体"/>
          <w:szCs w:val="24"/>
          <w:highlight w:val="none"/>
          <w:lang w:val="en-US" w:eastAsia="zh-CN"/>
        </w:rPr>
        <w:t>为区分，以下简称为</w:t>
      </w:r>
      <w:r>
        <w:rPr>
          <w:rFonts w:hint="eastAsia" w:ascii="宋体" w:hAnsi="宋体"/>
          <w:b/>
          <w:bCs/>
          <w:szCs w:val="24"/>
          <w:highlight w:val="none"/>
          <w:lang w:val="en-US" w:eastAsia="zh-CN"/>
        </w:rPr>
        <w:t>新楼视频专网)。</w:t>
      </w:r>
      <w:r>
        <w:rPr>
          <w:rFonts w:hint="eastAsia" w:ascii="宋体" w:hAnsi="宋体"/>
          <w:color w:val="auto"/>
          <w:szCs w:val="24"/>
          <w:highlight w:val="none"/>
          <w:lang w:val="en-US" w:eastAsia="zh-CN"/>
        </w:rPr>
        <w:t>另外，在前期筹备举办体育赛事期间，在标准足球场的四周部署了一套视频监控系统用于赛事之用，该视频监控系统完全独立，没有接入</w:t>
      </w:r>
      <w:r>
        <w:rPr>
          <w:rFonts w:hint="eastAsia" w:ascii="宋体" w:hAnsi="宋体"/>
          <w:b w:val="0"/>
          <w:bCs w:val="0"/>
          <w:color w:val="auto"/>
          <w:szCs w:val="24"/>
          <w:highlight w:val="none"/>
          <w:lang w:val="en-US" w:eastAsia="zh-CN"/>
        </w:rPr>
        <w:t>学院视频专网和新楼视频专网(</w:t>
      </w:r>
      <w:r>
        <w:rPr>
          <w:rFonts w:hint="eastAsia" w:ascii="宋体" w:hAnsi="宋体"/>
          <w:color w:val="auto"/>
          <w:szCs w:val="24"/>
          <w:highlight w:val="none"/>
          <w:lang w:val="en-US" w:eastAsia="zh-CN"/>
        </w:rPr>
        <w:t>为区分，以下简称为</w:t>
      </w:r>
      <w:r>
        <w:rPr>
          <w:rFonts w:hint="eastAsia" w:ascii="宋体" w:hAnsi="宋体"/>
          <w:b/>
          <w:bCs/>
          <w:color w:val="auto"/>
          <w:szCs w:val="24"/>
          <w:highlight w:val="none"/>
          <w:lang w:val="en-US" w:eastAsia="zh-CN"/>
        </w:rPr>
        <w:t>足球场视频专网)。</w:t>
      </w:r>
    </w:p>
    <w:p>
      <w:pPr>
        <w:pStyle w:val="5"/>
        <w:bidi w:val="0"/>
        <w:ind w:left="480" w:leftChars="0" w:firstLine="0" w:firstLineChars="0"/>
        <w:rPr>
          <w:rFonts w:hint="eastAsia" w:ascii="宋体" w:hAnsi="宋体"/>
          <w:szCs w:val="24"/>
          <w:highlight w:val="none"/>
        </w:rPr>
      </w:pPr>
      <w:r>
        <w:rPr>
          <w:rFonts w:hint="eastAsia"/>
          <w:highlight w:val="none"/>
          <w:lang w:val="en-US" w:eastAsia="zh-CN"/>
        </w:rPr>
        <w:t>学院视频专网现状</w:t>
      </w:r>
    </w:p>
    <w:p>
      <w:pPr>
        <w:spacing w:before="156" w:beforeLines="50"/>
        <w:ind w:firstLine="480"/>
        <w:rPr>
          <w:rFonts w:hint="default" w:ascii="宋体" w:hAnsi="宋体" w:eastAsia="宋体"/>
          <w:szCs w:val="24"/>
          <w:highlight w:val="none"/>
          <w:lang w:val="en-US" w:eastAsia="zh-CN"/>
        </w:rPr>
      </w:pPr>
      <w:r>
        <w:rPr>
          <w:rFonts w:hint="eastAsia" w:ascii="宋体" w:hAnsi="宋体"/>
          <w:szCs w:val="24"/>
          <w:highlight w:val="none"/>
          <w:lang w:val="en-US" w:eastAsia="zh-CN"/>
        </w:rPr>
        <w:t>学院视频专网分为核心层、汇聚层和接入层共三层网络。其中，学院核心交换机部署于</w:t>
      </w:r>
      <w:r>
        <w:rPr>
          <w:rFonts w:hint="eastAsia" w:ascii="宋体" w:hAnsi="宋体"/>
          <w:szCs w:val="24"/>
          <w:highlight w:val="none"/>
        </w:rPr>
        <w:t>图书信息大楼五楼网络机房</w:t>
      </w:r>
      <w:r>
        <w:rPr>
          <w:rFonts w:hint="eastAsia" w:ascii="宋体" w:hAnsi="宋体"/>
          <w:szCs w:val="24"/>
          <w:highlight w:val="none"/>
          <w:lang w:eastAsia="zh-CN"/>
        </w:rPr>
        <w:t>，</w:t>
      </w:r>
      <w:r>
        <w:rPr>
          <w:rFonts w:hint="eastAsia" w:ascii="宋体" w:hAnsi="宋体"/>
          <w:szCs w:val="24"/>
          <w:highlight w:val="none"/>
          <w:lang w:val="en-US" w:eastAsia="zh-CN"/>
        </w:rPr>
        <w:t>作为核心层</w:t>
      </w:r>
      <w:r>
        <w:rPr>
          <w:rFonts w:hint="eastAsia" w:ascii="宋体" w:hAnsi="宋体"/>
          <w:szCs w:val="24"/>
          <w:highlight w:val="none"/>
          <w:lang w:eastAsia="zh-CN"/>
        </w:rPr>
        <w:t>；</w:t>
      </w:r>
      <w:r>
        <w:rPr>
          <w:rFonts w:hint="eastAsia" w:ascii="宋体" w:hAnsi="宋体"/>
          <w:szCs w:val="24"/>
          <w:highlight w:val="none"/>
          <w:lang w:val="en-US" w:eastAsia="zh-CN"/>
        </w:rPr>
        <w:t>六栋学生宿舍和第二教学区作为汇聚层，采用光纤主干与核心层相互连接；最后，综合楼、第一教学区、第三教学区、教工宿舍、实训中心、南北校门等作为接入层。</w:t>
      </w:r>
    </w:p>
    <w:p>
      <w:pPr>
        <w:spacing w:before="156" w:beforeLines="50"/>
        <w:ind w:firstLine="480"/>
        <w:rPr>
          <w:rFonts w:hint="default" w:ascii="宋体" w:hAnsi="宋体" w:eastAsia="宋体"/>
          <w:szCs w:val="24"/>
          <w:highlight w:val="none"/>
          <w:lang w:val="en-US" w:eastAsia="zh-CN"/>
        </w:rPr>
      </w:pPr>
      <w:r>
        <w:rPr>
          <w:rFonts w:hint="eastAsia" w:ascii="宋体" w:hAnsi="宋体"/>
          <w:szCs w:val="24"/>
          <w:highlight w:val="none"/>
          <w:lang w:val="en-US" w:eastAsia="zh-CN"/>
        </w:rPr>
        <w:t>设备选型方面，核心层采用24口千兆光口三层交换机（品牌：华为，型号：S5735S-L32ST4X-A）；汇聚层采用24千兆电口三层交换机（品牌：H3C，型号：LS-5120V3-28P-HPWR-SI）；接入层采用4口/8口百兆电口二层交换机。</w:t>
      </w:r>
    </w:p>
    <w:p>
      <w:pPr>
        <w:spacing w:before="156" w:beforeLines="50"/>
        <w:ind w:firstLine="480"/>
        <w:rPr>
          <w:rFonts w:ascii="宋体" w:hAnsi="宋体"/>
          <w:szCs w:val="24"/>
          <w:highlight w:val="none"/>
        </w:rPr>
      </w:pPr>
      <w:r>
        <w:rPr>
          <w:rFonts w:hint="eastAsia" w:ascii="宋体" w:hAnsi="宋体"/>
          <w:szCs w:val="24"/>
          <w:highlight w:val="none"/>
          <w:lang w:val="en-US" w:eastAsia="zh-CN"/>
        </w:rPr>
        <w:t>学院视频专网的整体网络拓扑具调研如下：</w:t>
      </w:r>
    </w:p>
    <w:p>
      <w:pPr>
        <w:pStyle w:val="34"/>
        <w:keepNext w:val="0"/>
        <w:keepLines w:val="0"/>
        <w:pageBreakBefore w:val="0"/>
        <w:widowControl w:val="0"/>
        <w:kinsoku/>
        <w:wordWrap/>
        <w:overflowPunct/>
        <w:topLinePunct w:val="0"/>
        <w:autoSpaceDE/>
        <w:autoSpaceDN/>
        <w:bidi w:val="0"/>
        <w:adjustRightInd/>
        <w:snapToGrid/>
        <w:ind w:left="-120" w:leftChars="-50" w:firstLine="0" w:firstLineChars="0"/>
        <w:jc w:val="center"/>
        <w:textAlignment w:val="auto"/>
        <w:rPr>
          <w:highlight w:val="none"/>
        </w:rPr>
      </w:pPr>
      <w:r>
        <w:rPr>
          <w:highlight w:val="none"/>
        </w:rPr>
        <w:drawing>
          <wp:inline distT="0" distB="0" distL="114300" distR="114300">
            <wp:extent cx="5203190" cy="6417310"/>
            <wp:effectExtent l="0" t="0" r="16510" b="254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16"/>
                    <a:stretch>
                      <a:fillRect/>
                    </a:stretch>
                  </pic:blipFill>
                  <pic:spPr>
                    <a:xfrm>
                      <a:off x="0" y="0"/>
                      <a:ext cx="5203190" cy="6417310"/>
                    </a:xfrm>
                    <a:prstGeom prst="rect">
                      <a:avLst/>
                    </a:prstGeom>
                    <a:noFill/>
                    <a:ln>
                      <a:noFill/>
                    </a:ln>
                  </pic:spPr>
                </pic:pic>
              </a:graphicData>
            </a:graphic>
          </wp:inline>
        </w:drawing>
      </w:r>
    </w:p>
    <w:p>
      <w:pPr>
        <w:ind w:left="0" w:leftChars="0" w:firstLine="0" w:firstLineChars="0"/>
        <w:jc w:val="center"/>
        <w:rPr>
          <w:rFonts w:hint="eastAsia"/>
          <w:highlight w:val="none"/>
          <w:lang w:val="en-US" w:eastAsia="zh-CN"/>
        </w:rPr>
      </w:pPr>
      <w:r>
        <w:rPr>
          <w:rFonts w:hint="eastAsia" w:ascii="黑体" w:hAnsi="黑体" w:eastAsia="黑体" w:cs="黑体"/>
          <w:sz w:val="22"/>
          <w:szCs w:val="22"/>
          <w:highlight w:val="none"/>
          <w:u w:val="single"/>
          <w:lang w:val="en-US" w:eastAsia="zh-CN"/>
        </w:rPr>
        <w:t>图：学院视频专网拓扑图</w:t>
      </w:r>
    </w:p>
    <w:p>
      <w:pPr>
        <w:pStyle w:val="5"/>
        <w:bidi w:val="0"/>
        <w:ind w:left="480" w:leftChars="0" w:firstLine="0" w:firstLineChars="0"/>
        <w:rPr>
          <w:rFonts w:hint="eastAsia" w:ascii="宋体" w:hAnsi="宋体"/>
          <w:szCs w:val="24"/>
          <w:highlight w:val="none"/>
        </w:rPr>
      </w:pPr>
      <w:r>
        <w:rPr>
          <w:rFonts w:hint="eastAsia"/>
          <w:highlight w:val="none"/>
          <w:lang w:val="en-US" w:eastAsia="zh-CN"/>
        </w:rPr>
        <w:t>新楼视频专网现状</w:t>
      </w:r>
    </w:p>
    <w:p>
      <w:pPr>
        <w:spacing w:before="156" w:beforeLines="50"/>
        <w:ind w:firstLine="480"/>
        <w:rPr>
          <w:rFonts w:hint="default" w:ascii="宋体" w:hAnsi="宋体" w:eastAsia="宋体"/>
          <w:szCs w:val="24"/>
          <w:highlight w:val="none"/>
          <w:lang w:val="en-US" w:eastAsia="zh-CN"/>
        </w:rPr>
      </w:pPr>
      <w:r>
        <w:rPr>
          <w:rFonts w:hint="eastAsia" w:ascii="宋体" w:hAnsi="宋体"/>
          <w:szCs w:val="24"/>
          <w:highlight w:val="none"/>
          <w:lang w:val="en-US" w:eastAsia="zh-CN"/>
        </w:rPr>
        <w:t>新楼视频专网分为核心层和接入层。其中，核心交换机部署于第三食堂首层监控室</w:t>
      </w:r>
      <w:r>
        <w:rPr>
          <w:rFonts w:hint="eastAsia" w:ascii="宋体" w:hAnsi="宋体"/>
          <w:szCs w:val="24"/>
          <w:highlight w:val="none"/>
          <w:lang w:eastAsia="zh-CN"/>
        </w:rPr>
        <w:t>，</w:t>
      </w:r>
      <w:r>
        <w:rPr>
          <w:rFonts w:hint="eastAsia" w:ascii="宋体" w:hAnsi="宋体"/>
          <w:szCs w:val="24"/>
          <w:highlight w:val="none"/>
          <w:lang w:val="en-US" w:eastAsia="zh-CN"/>
        </w:rPr>
        <w:t>作为核心层</w:t>
      </w:r>
      <w:r>
        <w:rPr>
          <w:rFonts w:hint="eastAsia" w:ascii="宋体" w:hAnsi="宋体"/>
          <w:szCs w:val="24"/>
          <w:highlight w:val="none"/>
          <w:lang w:eastAsia="zh-CN"/>
        </w:rPr>
        <w:t>；</w:t>
      </w:r>
      <w:r>
        <w:rPr>
          <w:rFonts w:hint="eastAsia"/>
          <w:highlight w:val="none"/>
          <w:lang w:val="en-US" w:eastAsia="zh-CN"/>
        </w:rPr>
        <w:t>七号学生宿舍、八号学生宿舍和第三实训楼作为</w:t>
      </w:r>
      <w:r>
        <w:rPr>
          <w:rFonts w:hint="eastAsia" w:ascii="宋体" w:hAnsi="宋体"/>
          <w:szCs w:val="24"/>
          <w:highlight w:val="none"/>
          <w:lang w:val="en-US" w:eastAsia="zh-CN"/>
        </w:rPr>
        <w:t>接入层。</w:t>
      </w:r>
    </w:p>
    <w:p>
      <w:pPr>
        <w:spacing w:before="156" w:beforeLines="50"/>
        <w:ind w:firstLine="480"/>
        <w:rPr>
          <w:rFonts w:hint="default" w:ascii="宋体" w:hAnsi="宋体" w:eastAsia="宋体"/>
          <w:szCs w:val="24"/>
          <w:highlight w:val="none"/>
          <w:lang w:val="en-US" w:eastAsia="zh-CN"/>
        </w:rPr>
      </w:pPr>
      <w:r>
        <w:rPr>
          <w:rFonts w:hint="eastAsia" w:ascii="宋体" w:hAnsi="宋体"/>
          <w:szCs w:val="24"/>
          <w:highlight w:val="none"/>
          <w:lang w:val="en-US" w:eastAsia="zh-CN"/>
        </w:rPr>
        <w:t>设备选型方面，核心层采用24口千兆电口交换机（品牌：睿易，型号：RG-NBS5200-24SFP/8GT4XS）；接入层采用24口千兆电口二层交换机（品牌：睿易，型号：RG-NBS2028G-S）；</w:t>
      </w:r>
    </w:p>
    <w:p>
      <w:pPr>
        <w:pStyle w:val="34"/>
        <w:keepNext w:val="0"/>
        <w:keepLines w:val="0"/>
        <w:pageBreakBefore w:val="0"/>
        <w:widowControl w:val="0"/>
        <w:kinsoku/>
        <w:wordWrap/>
        <w:overflowPunct/>
        <w:topLinePunct w:val="0"/>
        <w:autoSpaceDE/>
        <w:autoSpaceDN/>
        <w:bidi w:val="0"/>
        <w:adjustRightInd/>
        <w:snapToGrid/>
        <w:spacing w:before="36" w:after="36"/>
        <w:ind w:left="0" w:leftChars="0" w:firstLine="0" w:firstLineChars="0"/>
        <w:jc w:val="center"/>
        <w:textAlignment w:val="auto"/>
        <w:rPr>
          <w:rFonts w:hint="default"/>
          <w:highlight w:val="none"/>
          <w:lang w:val="en-US" w:eastAsia="zh-CN"/>
        </w:rPr>
      </w:pPr>
      <w:r>
        <w:rPr>
          <w:highlight w:val="none"/>
        </w:rPr>
        <w:drawing>
          <wp:inline distT="0" distB="0" distL="114300" distR="114300">
            <wp:extent cx="2855595" cy="2850515"/>
            <wp:effectExtent l="0" t="0" r="1905"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7"/>
                    <a:stretch>
                      <a:fillRect/>
                    </a:stretch>
                  </pic:blipFill>
                  <pic:spPr>
                    <a:xfrm>
                      <a:off x="0" y="0"/>
                      <a:ext cx="2855595" cy="2850515"/>
                    </a:xfrm>
                    <a:prstGeom prst="rect">
                      <a:avLst/>
                    </a:prstGeom>
                    <a:noFill/>
                    <a:ln>
                      <a:noFill/>
                    </a:ln>
                  </pic:spPr>
                </pic:pic>
              </a:graphicData>
            </a:graphic>
          </wp:inline>
        </w:drawing>
      </w:r>
    </w:p>
    <w:p>
      <w:pPr>
        <w:ind w:left="0" w:leftChars="0" w:firstLine="0" w:firstLineChars="0"/>
        <w:jc w:val="center"/>
        <w:rPr>
          <w:rFonts w:hint="eastAsia" w:ascii="黑体" w:hAnsi="黑体" w:eastAsia="黑体" w:cs="黑体"/>
          <w:sz w:val="22"/>
          <w:szCs w:val="22"/>
          <w:highlight w:val="none"/>
          <w:u w:val="single"/>
          <w:lang w:val="en-US" w:eastAsia="zh-CN"/>
        </w:rPr>
      </w:pPr>
      <w:r>
        <w:rPr>
          <w:rFonts w:hint="eastAsia" w:ascii="黑体" w:hAnsi="黑体" w:eastAsia="黑体" w:cs="黑体"/>
          <w:sz w:val="22"/>
          <w:szCs w:val="22"/>
          <w:highlight w:val="none"/>
          <w:u w:val="single"/>
          <w:lang w:val="en-US" w:eastAsia="zh-CN"/>
        </w:rPr>
        <w:t>图：新楼视频专网拓扑图</w:t>
      </w:r>
    </w:p>
    <w:p>
      <w:pPr>
        <w:ind w:left="0" w:leftChars="0" w:firstLine="0" w:firstLineChars="0"/>
        <w:jc w:val="center"/>
        <w:rPr>
          <w:rFonts w:hint="eastAsia" w:ascii="黑体" w:hAnsi="黑体" w:eastAsia="黑体" w:cs="黑体"/>
          <w:sz w:val="22"/>
          <w:szCs w:val="22"/>
          <w:highlight w:val="none"/>
          <w:u w:val="single"/>
          <w:lang w:val="en-US" w:eastAsia="zh-CN"/>
        </w:rPr>
      </w:pPr>
    </w:p>
    <w:p>
      <w:pPr>
        <w:pStyle w:val="5"/>
        <w:bidi w:val="0"/>
        <w:ind w:left="480" w:leftChars="0" w:firstLine="0" w:firstLineChars="0"/>
        <w:rPr>
          <w:rFonts w:hint="eastAsia" w:ascii="宋体" w:hAnsi="宋体"/>
          <w:color w:val="auto"/>
          <w:szCs w:val="24"/>
          <w:highlight w:val="none"/>
        </w:rPr>
      </w:pPr>
      <w:r>
        <w:rPr>
          <w:rFonts w:hint="eastAsia" w:ascii="宋体" w:hAnsi="宋体"/>
          <w:b/>
          <w:bCs/>
          <w:color w:val="auto"/>
          <w:szCs w:val="24"/>
          <w:highlight w:val="none"/>
          <w:lang w:val="en-US" w:eastAsia="zh-CN"/>
        </w:rPr>
        <w:t>足球场视频专网</w:t>
      </w:r>
      <w:r>
        <w:rPr>
          <w:rFonts w:hint="eastAsia"/>
          <w:color w:val="auto"/>
          <w:highlight w:val="none"/>
          <w:lang w:val="en-US" w:eastAsia="zh-CN"/>
        </w:rPr>
        <w:t>现状</w:t>
      </w:r>
    </w:p>
    <w:p>
      <w:pPr>
        <w:spacing w:before="156" w:beforeLines="50"/>
        <w:rPr>
          <w:rFonts w:hint="eastAsia" w:ascii="宋体" w:hAnsi="宋体"/>
          <w:color w:val="auto"/>
          <w:szCs w:val="24"/>
          <w:highlight w:val="none"/>
          <w:lang w:val="en-US" w:eastAsia="zh-CN"/>
        </w:rPr>
      </w:pPr>
      <w:r>
        <w:rPr>
          <w:rFonts w:hint="eastAsia" w:ascii="宋体" w:hAnsi="宋体"/>
          <w:color w:val="auto"/>
          <w:szCs w:val="24"/>
          <w:highlight w:val="none"/>
          <w:lang w:val="en-US" w:eastAsia="zh-CN"/>
        </w:rPr>
        <w:t>足球场视频专网内主要是围绕足球场的周围部署视频监控(品牌:大华)，视频监控通过光纤收发器的方式将图像传回(数据处理中心)；数据处理中心内部署了网络交换机(品牌:华为)用于接入足球场视频专网内的视频监控以及后端存储的硬盘录像机；同时在足球场的安防控制室内部署了一台网络交换机(品牌:大华)用于接入高清解码器作为电视墙解码之用；</w:t>
      </w:r>
    </w:p>
    <w:p>
      <w:pPr>
        <w:keepNext w:val="0"/>
        <w:keepLines w:val="0"/>
        <w:pageBreakBefore w:val="0"/>
        <w:widowControl w:val="0"/>
        <w:kinsoku/>
        <w:wordWrap/>
        <w:overflowPunct/>
        <w:topLinePunct w:val="0"/>
        <w:autoSpaceDE/>
        <w:autoSpaceDN/>
        <w:bidi w:val="0"/>
        <w:adjustRightInd/>
        <w:snapToGrid/>
        <w:spacing w:before="156" w:beforeLines="50"/>
        <w:ind w:firstLine="0" w:firstLineChars="0"/>
        <w:jc w:val="center"/>
        <w:textAlignment w:val="auto"/>
        <w:rPr>
          <w:rFonts w:hint="default" w:ascii="宋体" w:hAnsi="宋体"/>
          <w:szCs w:val="24"/>
          <w:highlight w:val="none"/>
          <w:lang w:val="en-US" w:eastAsia="zh-CN"/>
        </w:rPr>
      </w:pPr>
      <w:r>
        <w:drawing>
          <wp:inline distT="0" distB="0" distL="114300" distR="114300">
            <wp:extent cx="5126355" cy="2741930"/>
            <wp:effectExtent l="0" t="0" r="17145" b="1270"/>
            <wp:docPr id="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
                    <pic:cNvPicPr>
                      <a:picLocks noChangeAspect="1"/>
                    </pic:cNvPicPr>
                  </pic:nvPicPr>
                  <pic:blipFill>
                    <a:blip r:embed="rId18"/>
                    <a:stretch>
                      <a:fillRect/>
                    </a:stretch>
                  </pic:blipFill>
                  <pic:spPr>
                    <a:xfrm>
                      <a:off x="0" y="0"/>
                      <a:ext cx="5126355" cy="2741930"/>
                    </a:xfrm>
                    <a:prstGeom prst="rect">
                      <a:avLst/>
                    </a:prstGeom>
                    <a:noFill/>
                    <a:ln>
                      <a:noFill/>
                    </a:ln>
                  </pic:spPr>
                </pic:pic>
              </a:graphicData>
            </a:graphic>
          </wp:inline>
        </w:drawing>
      </w:r>
    </w:p>
    <w:p>
      <w:pPr>
        <w:ind w:left="0" w:leftChars="0" w:firstLine="0" w:firstLineChars="0"/>
        <w:jc w:val="center"/>
        <w:rPr>
          <w:rFonts w:hint="default" w:ascii="黑体" w:hAnsi="黑体" w:eastAsia="黑体" w:cs="黑体"/>
          <w:sz w:val="22"/>
          <w:szCs w:val="22"/>
          <w:highlight w:val="none"/>
          <w:u w:val="single"/>
          <w:lang w:val="en-US" w:eastAsia="zh-CN"/>
        </w:rPr>
      </w:pPr>
      <w:r>
        <w:rPr>
          <w:rFonts w:hint="eastAsia" w:ascii="黑体" w:hAnsi="黑体" w:eastAsia="黑体" w:cs="黑体"/>
          <w:sz w:val="22"/>
          <w:szCs w:val="22"/>
          <w:highlight w:val="none"/>
          <w:u w:val="single"/>
          <w:lang w:val="en-US" w:eastAsia="zh-CN"/>
        </w:rPr>
        <w:t>图：足球场视频专网拓扑图</w:t>
      </w:r>
    </w:p>
    <w:p>
      <w:pPr>
        <w:pStyle w:val="4"/>
        <w:bidi w:val="0"/>
        <w:ind w:left="482" w:leftChars="0" w:hanging="425" w:firstLineChars="0"/>
        <w:rPr>
          <w:rFonts w:hint="eastAsia"/>
          <w:highlight w:val="none"/>
          <w:lang w:val="en-US" w:eastAsia="zh-CN"/>
        </w:rPr>
      </w:pPr>
      <w:bookmarkStart w:id="13" w:name="_Toc31365"/>
      <w:r>
        <w:rPr>
          <w:rFonts w:hint="eastAsia"/>
          <w:highlight w:val="none"/>
          <w:lang w:val="en-US" w:eastAsia="zh-CN"/>
        </w:rPr>
        <w:t>视频监控系统现状</w:t>
      </w:r>
      <w:bookmarkEnd w:id="13"/>
    </w:p>
    <w:p>
      <w:pPr>
        <w:keepNext w:val="0"/>
        <w:keepLines w:val="0"/>
        <w:pageBreakBefore w:val="0"/>
        <w:widowControl w:val="0"/>
        <w:kinsoku/>
        <w:wordWrap/>
        <w:overflowPunct/>
        <w:topLinePunct w:val="0"/>
        <w:autoSpaceDE/>
        <w:autoSpaceDN/>
        <w:bidi w:val="0"/>
        <w:adjustRightInd/>
        <w:snapToGrid/>
        <w:spacing w:after="0" w:afterLines="0"/>
        <w:textAlignment w:val="auto"/>
        <w:rPr>
          <w:rFonts w:hint="default"/>
          <w:highlight w:val="none"/>
          <w:lang w:val="en-US" w:eastAsia="zh-CN"/>
        </w:rPr>
      </w:pPr>
      <w:r>
        <w:rPr>
          <w:rFonts w:hint="eastAsia"/>
          <w:lang w:val="en-US" w:eastAsia="zh-CN"/>
        </w:rPr>
        <w:t>与视频专网对应的，汕头职业技术学院校本部的视频监控系统也分为两套。一套是以学院视频专网为基础，是学院主要使用的安防系统，</w:t>
      </w:r>
      <w:r>
        <w:rPr>
          <w:rFonts w:hint="eastAsia" w:ascii="宋体" w:hAnsi="宋体"/>
          <w:szCs w:val="24"/>
          <w:highlight w:val="none"/>
          <w:lang w:val="en-US" w:eastAsia="zh-CN"/>
        </w:rPr>
        <w:t>除</w:t>
      </w:r>
      <w:r>
        <w:rPr>
          <w:rFonts w:hint="eastAsia"/>
          <w:highlight w:val="none"/>
          <w:lang w:val="en-US" w:eastAsia="zh-CN"/>
        </w:rPr>
        <w:t>七号学生宿舍、八号学生宿舍、第三实训楼和第三食堂四栋新建楼栋</w:t>
      </w:r>
      <w:r>
        <w:rPr>
          <w:rFonts w:hint="eastAsia" w:ascii="宋体" w:hAnsi="宋体"/>
          <w:szCs w:val="24"/>
          <w:highlight w:val="none"/>
          <w:lang w:val="en-US" w:eastAsia="zh-CN"/>
        </w:rPr>
        <w:t>外，基本覆盖了学院大部分区域（为区分，以下简称为</w:t>
      </w:r>
      <w:r>
        <w:rPr>
          <w:rFonts w:hint="eastAsia" w:ascii="宋体" w:hAnsi="宋体"/>
          <w:b/>
          <w:bCs/>
          <w:szCs w:val="24"/>
          <w:highlight w:val="none"/>
          <w:lang w:val="en-US" w:eastAsia="zh-CN"/>
        </w:rPr>
        <w:t>学院视频监控系统</w:t>
      </w:r>
      <w:r>
        <w:rPr>
          <w:rFonts w:hint="eastAsia" w:ascii="宋体" w:hAnsi="宋体"/>
          <w:szCs w:val="24"/>
          <w:highlight w:val="none"/>
          <w:lang w:val="en-US" w:eastAsia="zh-CN"/>
        </w:rPr>
        <w:t>）。第二套以新楼视频专网为基础，仅</w:t>
      </w:r>
      <w:r>
        <w:rPr>
          <w:rFonts w:hint="eastAsia"/>
          <w:highlight w:val="none"/>
          <w:lang w:val="en-US" w:eastAsia="zh-CN"/>
        </w:rPr>
        <w:t>覆盖第三食堂、七号学生宿舍、八号学生宿舍和第三实训楼四栋新建楼栋</w:t>
      </w:r>
      <w:r>
        <w:rPr>
          <w:rFonts w:hint="eastAsia" w:ascii="宋体" w:hAnsi="宋体"/>
          <w:szCs w:val="24"/>
          <w:highlight w:val="none"/>
          <w:lang w:val="en-US" w:eastAsia="zh-CN"/>
        </w:rPr>
        <w:t>（为区分，以下简称为</w:t>
      </w:r>
      <w:r>
        <w:rPr>
          <w:rFonts w:hint="eastAsia" w:ascii="宋体" w:hAnsi="宋体"/>
          <w:b/>
          <w:bCs/>
          <w:szCs w:val="24"/>
          <w:highlight w:val="none"/>
          <w:lang w:val="en-US" w:eastAsia="zh-CN"/>
        </w:rPr>
        <w:t>新楼视频监控系统</w:t>
      </w:r>
      <w:r>
        <w:rPr>
          <w:rFonts w:hint="eastAsia" w:ascii="宋体" w:hAnsi="宋体"/>
          <w:szCs w:val="24"/>
          <w:highlight w:val="none"/>
          <w:lang w:val="en-US" w:eastAsia="zh-CN"/>
        </w:rPr>
        <w:t>）。第三套</w:t>
      </w:r>
      <w:r>
        <w:rPr>
          <w:rFonts w:hint="eastAsia" w:ascii="宋体" w:hAnsi="宋体"/>
          <w:color w:val="auto"/>
          <w:szCs w:val="24"/>
          <w:highlight w:val="none"/>
          <w:lang w:val="en-US" w:eastAsia="zh-CN"/>
        </w:rPr>
        <w:t>部署于足球场的四周，该视频监控系统主要用于赛事之用</w:t>
      </w:r>
      <w:r>
        <w:rPr>
          <w:rFonts w:hint="eastAsia" w:ascii="宋体" w:hAnsi="宋体"/>
          <w:b w:val="0"/>
          <w:bCs w:val="0"/>
          <w:color w:val="auto"/>
          <w:szCs w:val="24"/>
          <w:highlight w:val="none"/>
          <w:lang w:val="en-US" w:eastAsia="zh-CN"/>
        </w:rPr>
        <w:t>(</w:t>
      </w:r>
      <w:r>
        <w:rPr>
          <w:rFonts w:hint="eastAsia" w:ascii="宋体" w:hAnsi="宋体"/>
          <w:color w:val="auto"/>
          <w:szCs w:val="24"/>
          <w:highlight w:val="none"/>
          <w:lang w:val="en-US" w:eastAsia="zh-CN"/>
        </w:rPr>
        <w:t>为区分，以下简称为</w:t>
      </w:r>
      <w:r>
        <w:rPr>
          <w:rFonts w:hint="eastAsia" w:ascii="宋体" w:hAnsi="宋体"/>
          <w:b/>
          <w:bCs/>
          <w:color w:val="auto"/>
          <w:szCs w:val="24"/>
          <w:highlight w:val="none"/>
          <w:lang w:val="en-US" w:eastAsia="zh-CN"/>
        </w:rPr>
        <w:t>足球场视频监控系统)</w:t>
      </w:r>
      <w:r>
        <w:rPr>
          <w:rFonts w:hint="eastAsia"/>
          <w:highlight w:val="none"/>
          <w:lang w:val="en-US" w:eastAsia="zh-CN"/>
        </w:rPr>
        <w:t>。以上三套视频监控系统在网络上是物理隔离，视频监控平台也是独立运行。</w:t>
      </w:r>
    </w:p>
    <w:p>
      <w:pPr>
        <w:pStyle w:val="5"/>
        <w:keepNext/>
        <w:keepLines/>
        <w:pageBreakBefore w:val="0"/>
        <w:widowControl w:val="0"/>
        <w:kinsoku/>
        <w:wordWrap/>
        <w:overflowPunct/>
        <w:topLinePunct w:val="0"/>
        <w:autoSpaceDE/>
        <w:autoSpaceDN/>
        <w:bidi w:val="0"/>
        <w:adjustRightInd/>
        <w:snapToGrid/>
        <w:spacing w:after="140" w:line="377" w:lineRule="auto"/>
        <w:ind w:left="482" w:leftChars="0" w:firstLine="0" w:firstLineChars="0"/>
        <w:textAlignment w:val="auto"/>
        <w:rPr>
          <w:rFonts w:hint="eastAsia" w:ascii="宋体" w:hAnsi="宋体"/>
          <w:szCs w:val="24"/>
          <w:highlight w:val="none"/>
        </w:rPr>
      </w:pPr>
      <w:r>
        <w:rPr>
          <w:rFonts w:hint="eastAsia"/>
          <w:highlight w:val="none"/>
          <w:lang w:val="en-US" w:eastAsia="zh-CN"/>
        </w:rPr>
        <w:t>学院视频监控系统现状</w:t>
      </w:r>
    </w:p>
    <w:p>
      <w:pPr>
        <w:spacing w:before="156" w:beforeLines="50"/>
        <w:ind w:firstLine="480"/>
        <w:rPr>
          <w:rFonts w:hint="default" w:ascii="宋体" w:hAnsi="宋体"/>
          <w:szCs w:val="24"/>
          <w:highlight w:val="none"/>
          <w:lang w:val="en-US" w:eastAsia="zh-CN"/>
        </w:rPr>
      </w:pPr>
      <w:r>
        <w:rPr>
          <w:rFonts w:hint="eastAsia" w:ascii="宋体" w:hAnsi="宋体"/>
          <w:szCs w:val="24"/>
          <w:highlight w:val="none"/>
          <w:lang w:val="en-US" w:eastAsia="zh-CN"/>
        </w:rPr>
        <w:t>学院视频监控系统从2010年的“汕头职业技术学院安防视频监控系（一期）项目”开始建设，后续主要经过以下四个项目进行了扩容和升级改造：</w:t>
      </w:r>
    </w:p>
    <w:p>
      <w:pPr>
        <w:pStyle w:val="34"/>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lang w:val="en-US" w:eastAsia="zh-CN"/>
        </w:rPr>
      </w:pPr>
      <w:r>
        <w:drawing>
          <wp:inline distT="0" distB="0" distL="114300" distR="114300">
            <wp:extent cx="5295265" cy="2339975"/>
            <wp:effectExtent l="0" t="0" r="635" b="3175"/>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pic:cNvPicPr>
                  </pic:nvPicPr>
                  <pic:blipFill>
                    <a:blip r:embed="rId19"/>
                    <a:stretch>
                      <a:fillRect/>
                    </a:stretch>
                  </pic:blipFill>
                  <pic:spPr>
                    <a:xfrm>
                      <a:off x="0" y="0"/>
                      <a:ext cx="5295265" cy="2339975"/>
                    </a:xfrm>
                    <a:prstGeom prst="rect">
                      <a:avLst/>
                    </a:prstGeom>
                    <a:noFill/>
                    <a:ln>
                      <a:noFill/>
                    </a:ln>
                  </pic:spPr>
                </pic:pic>
              </a:graphicData>
            </a:graphic>
          </wp:inline>
        </w:drawing>
      </w:r>
    </w:p>
    <w:p>
      <w:pPr>
        <w:pStyle w:val="6"/>
        <w:keepNext/>
        <w:keepLines/>
        <w:pageBreakBefore w:val="0"/>
        <w:widowControl w:val="0"/>
        <w:kinsoku/>
        <w:wordWrap/>
        <w:overflowPunct/>
        <w:topLinePunct w:val="0"/>
        <w:autoSpaceDE/>
        <w:autoSpaceDN/>
        <w:bidi w:val="0"/>
        <w:adjustRightInd/>
        <w:snapToGrid/>
        <w:spacing w:before="380" w:after="140" w:line="377" w:lineRule="auto"/>
        <w:ind w:left="482" w:leftChars="0" w:firstLine="0" w:firstLineChars="0"/>
        <w:textAlignment w:val="auto"/>
        <w:outlineLvl w:val="4"/>
        <w:rPr>
          <w:rFonts w:hint="eastAsia"/>
          <w:highlight w:val="none"/>
          <w:lang w:val="en-US" w:eastAsia="zh-CN"/>
        </w:rPr>
      </w:pPr>
      <w:bookmarkStart w:id="14" w:name="_Toc48513832"/>
      <w:bookmarkStart w:id="15" w:name="_Toc48513761"/>
      <w:bookmarkStart w:id="16" w:name="_Toc71212677"/>
      <w:r>
        <w:rPr>
          <w:rFonts w:hint="eastAsia"/>
        </w:rPr>
        <w:t>安防视频监控系统（一期）现状</w:t>
      </w:r>
      <w:bookmarkEnd w:id="14"/>
      <w:bookmarkEnd w:id="15"/>
      <w:bookmarkEnd w:id="16"/>
    </w:p>
    <w:p>
      <w:pPr>
        <w:spacing w:before="156" w:beforeLines="50"/>
        <w:ind w:firstLine="480"/>
        <w:rPr>
          <w:rFonts w:hint="eastAsia" w:ascii="宋体" w:hAnsi="宋体"/>
          <w:szCs w:val="24"/>
          <w:highlight w:val="none"/>
          <w:lang w:val="en-US" w:eastAsia="zh-CN"/>
        </w:rPr>
      </w:pPr>
      <w:r>
        <w:rPr>
          <w:rFonts w:hint="eastAsia" w:ascii="宋体" w:hAnsi="宋体"/>
          <w:szCs w:val="24"/>
          <w:highlight w:val="none"/>
          <w:lang w:val="en-US" w:eastAsia="zh-CN"/>
        </w:rPr>
        <w:t>安防视频监控系统（一期）建设于2010年，共建设视频监控摄像机40台。</w:t>
      </w:r>
    </w:p>
    <w:p>
      <w:pPr>
        <w:spacing w:before="156" w:beforeLines="50"/>
        <w:rPr>
          <w:rFonts w:hint="eastAsia" w:ascii="宋体" w:hAnsi="宋体"/>
          <w:szCs w:val="24"/>
          <w:highlight w:val="none"/>
          <w:lang w:val="en-US" w:eastAsia="zh-CN"/>
        </w:rPr>
      </w:pPr>
      <w:r>
        <w:rPr>
          <w:rFonts w:hint="eastAsia" w:ascii="宋体" w:hAnsi="宋体"/>
          <w:szCs w:val="24"/>
          <w:highlight w:val="none"/>
          <w:lang w:val="en-US" w:eastAsia="zh-CN"/>
        </w:rPr>
        <w:t>学校本部24台监控摄像机，金园校区16台监控摄像机，分布于两个学院的校门及主要路口，建设均为模拟视频摄像机。</w:t>
      </w:r>
    </w:p>
    <w:p>
      <w:pPr>
        <w:keepNext w:val="0"/>
        <w:keepLines w:val="0"/>
        <w:pageBreakBefore w:val="0"/>
        <w:widowControl w:val="0"/>
        <w:kinsoku/>
        <w:wordWrap/>
        <w:overflowPunct/>
        <w:topLinePunct w:val="0"/>
        <w:autoSpaceDE/>
        <w:autoSpaceDN/>
        <w:bidi w:val="0"/>
        <w:adjustRightInd/>
        <w:snapToGrid/>
        <w:spacing w:before="156" w:beforeLines="50" w:after="157" w:afterLines="50"/>
        <w:ind w:firstLine="480"/>
        <w:textAlignment w:val="auto"/>
        <w:rPr>
          <w:rFonts w:hint="eastAsia" w:ascii="宋体" w:hAnsi="宋体"/>
          <w:szCs w:val="24"/>
          <w:highlight w:val="none"/>
          <w:lang w:val="en-US" w:eastAsia="zh-CN"/>
        </w:rPr>
      </w:pPr>
      <w:r>
        <w:rPr>
          <w:rFonts w:hint="eastAsia" w:ascii="宋体" w:hAnsi="宋体"/>
          <w:szCs w:val="24"/>
          <w:highlight w:val="none"/>
          <w:lang w:val="en-US" w:eastAsia="zh-CN"/>
        </w:rPr>
        <w:t>在学校本部机房及金园校区部署监控管理存储主机及视频编码器，在金园校区部署监控管理存储辅机完成对两个校区视频监控系统的管理、视频图像的分发和重要视频数字的存储功能。后端主要设备如下：</w:t>
      </w:r>
    </w:p>
    <w:tbl>
      <w:tblPr>
        <w:tblStyle w:val="29"/>
        <w:tblW w:w="8258" w:type="dxa"/>
        <w:tblInd w:w="0" w:type="dxa"/>
        <w:tblLayout w:type="fixed"/>
        <w:tblCellMar>
          <w:top w:w="0" w:type="dxa"/>
          <w:left w:w="108" w:type="dxa"/>
          <w:bottom w:w="0" w:type="dxa"/>
          <w:right w:w="108" w:type="dxa"/>
        </w:tblCellMar>
      </w:tblPr>
      <w:tblGrid>
        <w:gridCol w:w="745"/>
        <w:gridCol w:w="1543"/>
        <w:gridCol w:w="3781"/>
        <w:gridCol w:w="708"/>
        <w:gridCol w:w="709"/>
        <w:gridCol w:w="772"/>
      </w:tblGrid>
      <w:tr>
        <w:tblPrEx>
          <w:tblCellMar>
            <w:top w:w="0" w:type="dxa"/>
            <w:left w:w="108" w:type="dxa"/>
            <w:bottom w:w="0" w:type="dxa"/>
            <w:right w:w="108" w:type="dxa"/>
          </w:tblCellMar>
        </w:tblPrEx>
        <w:trPr>
          <w:trHeight w:val="397" w:hRule="atLeast"/>
          <w:tblHeader/>
        </w:trPr>
        <w:tc>
          <w:tcPr>
            <w:tcW w:w="745" w:type="dxa"/>
            <w:tcBorders>
              <w:top w:val="single" w:color="auto" w:sz="4" w:space="0"/>
              <w:left w:val="single" w:color="auto" w:sz="4" w:space="0"/>
              <w:bottom w:val="single" w:color="auto" w:sz="4" w:space="0"/>
              <w:right w:val="single" w:color="auto" w:sz="4" w:space="0"/>
            </w:tcBorders>
            <w:shd w:val="clear" w:color="000000" w:fill="F1F1F1" w:themeFill="background1" w:themeFillShade="F2"/>
            <w:vAlign w:val="bottom"/>
          </w:tcPr>
          <w:p>
            <w:pPr>
              <w:widowControl/>
              <w:spacing w:line="36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序号</w:t>
            </w:r>
          </w:p>
        </w:tc>
        <w:tc>
          <w:tcPr>
            <w:tcW w:w="1543" w:type="dxa"/>
            <w:tcBorders>
              <w:top w:val="single" w:color="auto" w:sz="4" w:space="0"/>
              <w:left w:val="nil"/>
              <w:bottom w:val="single" w:color="auto" w:sz="4" w:space="0"/>
              <w:right w:val="single" w:color="auto" w:sz="4" w:space="0"/>
            </w:tcBorders>
            <w:shd w:val="clear" w:color="000000" w:fill="F1F1F1" w:themeFill="background1" w:themeFillShade="F2"/>
            <w:vAlign w:val="bottom"/>
          </w:tcPr>
          <w:p>
            <w:pPr>
              <w:widowControl/>
              <w:spacing w:line="36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名称</w:t>
            </w:r>
          </w:p>
        </w:tc>
        <w:tc>
          <w:tcPr>
            <w:tcW w:w="3781" w:type="dxa"/>
            <w:tcBorders>
              <w:top w:val="single" w:color="auto" w:sz="4" w:space="0"/>
              <w:left w:val="nil"/>
              <w:bottom w:val="single" w:color="auto" w:sz="4" w:space="0"/>
              <w:right w:val="single" w:color="auto" w:sz="4" w:space="0"/>
            </w:tcBorders>
            <w:shd w:val="clear" w:color="000000" w:fill="F1F1F1" w:themeFill="background1" w:themeFillShade="F2"/>
            <w:vAlign w:val="bottom"/>
          </w:tcPr>
          <w:p>
            <w:pPr>
              <w:widowControl/>
              <w:spacing w:line="36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参数描述</w:t>
            </w:r>
          </w:p>
        </w:tc>
        <w:tc>
          <w:tcPr>
            <w:tcW w:w="708" w:type="dxa"/>
            <w:tcBorders>
              <w:top w:val="single" w:color="auto" w:sz="4" w:space="0"/>
              <w:left w:val="nil"/>
              <w:bottom w:val="single" w:color="auto" w:sz="4" w:space="0"/>
              <w:right w:val="single" w:color="auto" w:sz="4" w:space="0"/>
            </w:tcBorders>
            <w:shd w:val="clear" w:color="000000" w:fill="F1F1F1" w:themeFill="background1" w:themeFillShade="F2"/>
            <w:vAlign w:val="bottom"/>
          </w:tcPr>
          <w:p>
            <w:pPr>
              <w:widowControl/>
              <w:spacing w:line="36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品牌</w:t>
            </w:r>
          </w:p>
        </w:tc>
        <w:tc>
          <w:tcPr>
            <w:tcW w:w="709" w:type="dxa"/>
            <w:tcBorders>
              <w:top w:val="single" w:color="auto" w:sz="4" w:space="0"/>
              <w:left w:val="nil"/>
              <w:bottom w:val="single" w:color="auto" w:sz="4" w:space="0"/>
              <w:right w:val="single" w:color="auto" w:sz="4" w:space="0"/>
            </w:tcBorders>
            <w:shd w:val="clear" w:color="000000" w:fill="F1F1F1" w:themeFill="background1" w:themeFillShade="F2"/>
            <w:vAlign w:val="bottom"/>
          </w:tcPr>
          <w:p>
            <w:pPr>
              <w:widowControl/>
              <w:spacing w:line="36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单位</w:t>
            </w:r>
          </w:p>
        </w:tc>
        <w:tc>
          <w:tcPr>
            <w:tcW w:w="772" w:type="dxa"/>
            <w:tcBorders>
              <w:top w:val="single" w:color="auto" w:sz="4" w:space="0"/>
              <w:left w:val="nil"/>
              <w:bottom w:val="single" w:color="auto" w:sz="4" w:space="0"/>
              <w:right w:val="single" w:color="auto" w:sz="4" w:space="0"/>
            </w:tcBorders>
            <w:shd w:val="clear" w:color="000000" w:fill="F1F1F1" w:themeFill="background1" w:themeFillShade="F2"/>
            <w:vAlign w:val="bottom"/>
          </w:tcPr>
          <w:p>
            <w:pPr>
              <w:widowControl/>
              <w:spacing w:line="36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数量</w:t>
            </w:r>
          </w:p>
        </w:tc>
      </w:tr>
      <w:tr>
        <w:tblPrEx>
          <w:tblCellMar>
            <w:top w:w="0" w:type="dxa"/>
            <w:left w:w="108" w:type="dxa"/>
            <w:bottom w:w="0" w:type="dxa"/>
            <w:right w:w="108" w:type="dxa"/>
          </w:tblCellMar>
        </w:tblPrEx>
        <w:trPr>
          <w:trHeight w:val="1557" w:hRule="atLeast"/>
        </w:trPr>
        <w:tc>
          <w:tcPr>
            <w:tcW w:w="745"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c>
          <w:tcPr>
            <w:tcW w:w="154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1路视频编码器</w:t>
            </w:r>
          </w:p>
        </w:tc>
        <w:tc>
          <w:tcPr>
            <w:tcW w:w="378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1路模拟混合视频，支持H.264、MJPEG、MPEG4、MPEG2图像压缩格式，视频图像分辨率：D1、4CIF、2CIF、CIF、QCIF，</w:t>
            </w:r>
            <w:r>
              <w:rPr>
                <w:rFonts w:hint="eastAsia" w:ascii="宋体" w:hAnsi="宋体" w:eastAsia="宋体" w:cs="宋体"/>
                <w:color w:val="000000"/>
                <w:sz w:val="21"/>
                <w:szCs w:val="21"/>
              </w:rPr>
              <w:t>进行实时音视频信号的编码压缩</w:t>
            </w:r>
          </w:p>
        </w:tc>
        <w:tc>
          <w:tcPr>
            <w:tcW w:w="70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H3C</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77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p>
        </w:tc>
      </w:tr>
      <w:tr>
        <w:tblPrEx>
          <w:tblCellMar>
            <w:top w:w="0" w:type="dxa"/>
            <w:left w:w="108" w:type="dxa"/>
            <w:bottom w:w="0" w:type="dxa"/>
            <w:right w:w="108" w:type="dxa"/>
          </w:tblCellMar>
        </w:tblPrEx>
        <w:trPr>
          <w:trHeight w:val="1533" w:hRule="atLeast"/>
        </w:trPr>
        <w:tc>
          <w:tcPr>
            <w:tcW w:w="745"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p>
        </w:tc>
        <w:tc>
          <w:tcPr>
            <w:tcW w:w="154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4路视频编码器</w:t>
            </w:r>
          </w:p>
        </w:tc>
        <w:tc>
          <w:tcPr>
            <w:tcW w:w="378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4路模拟混合视频，支持H.264、MJPEG、MPEG4、MPEG2图像压缩格式，视频图像分辨率：D1、4CIF、2CIF、CIF、QCIF，</w:t>
            </w:r>
            <w:r>
              <w:rPr>
                <w:rFonts w:hint="eastAsia" w:ascii="宋体" w:hAnsi="宋体" w:eastAsia="宋体" w:cs="宋体"/>
                <w:color w:val="000000"/>
                <w:sz w:val="21"/>
                <w:szCs w:val="21"/>
              </w:rPr>
              <w:t>进行实时音视频信号的编码压缩</w:t>
            </w:r>
          </w:p>
        </w:tc>
        <w:tc>
          <w:tcPr>
            <w:tcW w:w="70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H3C</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77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w:t>
            </w:r>
          </w:p>
        </w:tc>
      </w:tr>
      <w:tr>
        <w:tblPrEx>
          <w:tblCellMar>
            <w:top w:w="0" w:type="dxa"/>
            <w:left w:w="108" w:type="dxa"/>
            <w:bottom w:w="0" w:type="dxa"/>
            <w:right w:w="108" w:type="dxa"/>
          </w:tblCellMar>
        </w:tblPrEx>
        <w:trPr>
          <w:trHeight w:val="1728" w:hRule="atLeast"/>
        </w:trPr>
        <w:tc>
          <w:tcPr>
            <w:tcW w:w="745"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p>
        </w:tc>
        <w:tc>
          <w:tcPr>
            <w:tcW w:w="154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集成监控中心主机</w:t>
            </w:r>
          </w:p>
        </w:tc>
        <w:tc>
          <w:tcPr>
            <w:tcW w:w="378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最大管理前端500台编码器、1500路摄像机的能力，主机最大扩展接入31台辅机，单机最大提供8个盘位6TB的存储空间</w:t>
            </w:r>
          </w:p>
        </w:tc>
        <w:tc>
          <w:tcPr>
            <w:tcW w:w="70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H3C</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77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r>
      <w:tr>
        <w:tblPrEx>
          <w:tblCellMar>
            <w:top w:w="0" w:type="dxa"/>
            <w:left w:w="108" w:type="dxa"/>
            <w:bottom w:w="0" w:type="dxa"/>
            <w:right w:w="108" w:type="dxa"/>
          </w:tblCellMar>
        </w:tblPrEx>
        <w:trPr>
          <w:trHeight w:val="747" w:hRule="atLeast"/>
        </w:trPr>
        <w:tc>
          <w:tcPr>
            <w:tcW w:w="745"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w:t>
            </w:r>
          </w:p>
        </w:tc>
        <w:tc>
          <w:tcPr>
            <w:tcW w:w="154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集成监控中心辅机</w:t>
            </w:r>
          </w:p>
        </w:tc>
        <w:tc>
          <w:tcPr>
            <w:tcW w:w="378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最大提供8个盘位6TB的存储空间</w:t>
            </w:r>
          </w:p>
        </w:tc>
        <w:tc>
          <w:tcPr>
            <w:tcW w:w="70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H3C</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77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r>
      <w:tr>
        <w:tblPrEx>
          <w:tblCellMar>
            <w:top w:w="0" w:type="dxa"/>
            <w:left w:w="108" w:type="dxa"/>
            <w:bottom w:w="0" w:type="dxa"/>
            <w:right w:w="108" w:type="dxa"/>
          </w:tblCellMar>
        </w:tblPrEx>
        <w:trPr>
          <w:trHeight w:val="859" w:hRule="atLeast"/>
        </w:trPr>
        <w:tc>
          <w:tcPr>
            <w:tcW w:w="745"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p>
        </w:tc>
        <w:tc>
          <w:tcPr>
            <w:tcW w:w="154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视频监控ECR系列硬盘</w:t>
            </w:r>
          </w:p>
        </w:tc>
        <w:tc>
          <w:tcPr>
            <w:tcW w:w="378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工业版1TB</w:t>
            </w:r>
          </w:p>
        </w:tc>
        <w:tc>
          <w:tcPr>
            <w:tcW w:w="70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希捷</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块</w:t>
            </w:r>
          </w:p>
        </w:tc>
        <w:tc>
          <w:tcPr>
            <w:tcW w:w="77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w:t>
            </w:r>
          </w:p>
        </w:tc>
      </w:tr>
    </w:tbl>
    <w:p>
      <w:pPr>
        <w:spacing w:before="120" w:after="120"/>
        <w:ind w:firstLine="480"/>
        <w:rPr>
          <w:rFonts w:hint="eastAsia" w:ascii="宋体" w:hAnsi="宋体"/>
        </w:rPr>
      </w:pPr>
      <w:r>
        <w:rPr>
          <w:rFonts w:hint="eastAsia" w:ascii="宋体" w:hAnsi="宋体"/>
        </w:rPr>
        <w:t>目前该期建设的摄像机因建设年限较久，采用模拟型摄像机，已经全部淘汰不使用。</w:t>
      </w:r>
    </w:p>
    <w:p>
      <w:pPr>
        <w:pStyle w:val="6"/>
        <w:keepNext/>
        <w:keepLines/>
        <w:pageBreakBefore w:val="0"/>
        <w:widowControl w:val="0"/>
        <w:kinsoku/>
        <w:wordWrap/>
        <w:overflowPunct/>
        <w:topLinePunct w:val="0"/>
        <w:autoSpaceDE/>
        <w:autoSpaceDN/>
        <w:bidi w:val="0"/>
        <w:adjustRightInd/>
        <w:snapToGrid/>
        <w:spacing w:before="260" w:after="140" w:line="377" w:lineRule="auto"/>
        <w:ind w:left="482" w:leftChars="0" w:firstLine="0" w:firstLineChars="0"/>
        <w:textAlignment w:val="auto"/>
        <w:outlineLvl w:val="4"/>
        <w:rPr>
          <w:rFonts w:hint="eastAsia"/>
        </w:rPr>
      </w:pPr>
      <w:bookmarkStart w:id="17" w:name="_Toc71212678"/>
      <w:bookmarkStart w:id="18" w:name="_Toc48513833"/>
      <w:bookmarkStart w:id="19" w:name="_Toc48513762"/>
      <w:r>
        <w:rPr>
          <w:rFonts w:hint="eastAsia"/>
        </w:rPr>
        <w:t>安防视频监控系统（二期）现状</w:t>
      </w:r>
      <w:bookmarkEnd w:id="17"/>
      <w:bookmarkEnd w:id="18"/>
      <w:bookmarkEnd w:id="19"/>
    </w:p>
    <w:p>
      <w:pPr>
        <w:spacing w:before="120" w:after="120"/>
        <w:ind w:firstLine="480"/>
        <w:rPr>
          <w:rFonts w:hint="eastAsia" w:ascii="宋体" w:hAnsi="宋体"/>
        </w:rPr>
      </w:pPr>
      <w:r>
        <w:rPr>
          <w:rFonts w:hint="eastAsia" w:ascii="宋体" w:hAnsi="宋体"/>
        </w:rPr>
        <w:t>安防视频监控系统（二期）建设开始于2013年，第二期建设规模为149台摄像机，全部分布在学</w:t>
      </w:r>
      <w:r>
        <w:rPr>
          <w:rFonts w:hint="eastAsia" w:ascii="宋体" w:hAnsi="宋体"/>
          <w:lang w:eastAsia="zh-CN"/>
        </w:rPr>
        <w:t>校本部</w:t>
      </w:r>
      <w:r>
        <w:rPr>
          <w:rFonts w:hint="eastAsia" w:ascii="宋体" w:hAnsi="宋体"/>
        </w:rPr>
        <w:t>的主要路口、宿舍出入口、教学区出入口。建设均为数字摄像机。并在学</w:t>
      </w:r>
      <w:r>
        <w:rPr>
          <w:rFonts w:hint="eastAsia" w:ascii="宋体" w:hAnsi="宋体"/>
          <w:lang w:eastAsia="zh-CN"/>
        </w:rPr>
        <w:t>校本部</w:t>
      </w:r>
      <w:r>
        <w:rPr>
          <w:rFonts w:hint="eastAsia" w:ascii="宋体" w:hAnsi="宋体"/>
        </w:rPr>
        <w:t>机房内部署监控管理服务器、流媒体服务器、存储磁盘柜完成对该期学</w:t>
      </w:r>
      <w:r>
        <w:rPr>
          <w:rFonts w:hint="eastAsia" w:ascii="宋体" w:hAnsi="宋体"/>
          <w:lang w:eastAsia="zh-CN"/>
        </w:rPr>
        <w:t>校本部</w:t>
      </w:r>
      <w:r>
        <w:rPr>
          <w:rFonts w:hint="eastAsia" w:ascii="宋体" w:hAnsi="宋体"/>
        </w:rPr>
        <w:t>视频监控系统的管理、视频图像的分发和重要视频数字的存储功能。后端主要设备如下：</w:t>
      </w:r>
    </w:p>
    <w:tbl>
      <w:tblPr>
        <w:tblStyle w:val="29"/>
        <w:tblW w:w="8315" w:type="dxa"/>
        <w:tblInd w:w="0" w:type="dxa"/>
        <w:tblLayout w:type="fixed"/>
        <w:tblCellMar>
          <w:top w:w="0" w:type="dxa"/>
          <w:left w:w="108" w:type="dxa"/>
          <w:bottom w:w="0" w:type="dxa"/>
          <w:right w:w="108" w:type="dxa"/>
        </w:tblCellMar>
      </w:tblPr>
      <w:tblGrid>
        <w:gridCol w:w="709"/>
        <w:gridCol w:w="1701"/>
        <w:gridCol w:w="3686"/>
        <w:gridCol w:w="705"/>
        <w:gridCol w:w="805"/>
        <w:gridCol w:w="709"/>
      </w:tblGrid>
      <w:tr>
        <w:tblPrEx>
          <w:tblCellMar>
            <w:top w:w="0" w:type="dxa"/>
            <w:left w:w="108" w:type="dxa"/>
            <w:bottom w:w="0" w:type="dxa"/>
            <w:right w:w="108" w:type="dxa"/>
          </w:tblCellMar>
        </w:tblPrEx>
        <w:trPr>
          <w:trHeight w:val="508" w:hRule="atLeast"/>
          <w:tblHeader/>
        </w:trPr>
        <w:tc>
          <w:tcPr>
            <w:tcW w:w="709" w:type="dxa"/>
            <w:tcBorders>
              <w:top w:val="single" w:color="auto" w:sz="4" w:space="0"/>
              <w:left w:val="single" w:color="auto" w:sz="4" w:space="0"/>
              <w:bottom w:val="single" w:color="auto" w:sz="4" w:space="0"/>
              <w:right w:val="single" w:color="auto" w:sz="4" w:space="0"/>
            </w:tcBorders>
            <w:shd w:val="clear" w:color="000000" w:fill="F1F1F1" w:themeFill="background1" w:themeFillShade="F2"/>
            <w:vAlign w:val="center"/>
          </w:tcPr>
          <w:p>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序号</w:t>
            </w:r>
          </w:p>
        </w:tc>
        <w:tc>
          <w:tcPr>
            <w:tcW w:w="1701" w:type="dxa"/>
            <w:tcBorders>
              <w:top w:val="single" w:color="auto" w:sz="4" w:space="0"/>
              <w:left w:val="nil"/>
              <w:bottom w:val="single" w:color="auto" w:sz="4" w:space="0"/>
              <w:right w:val="single" w:color="auto" w:sz="4" w:space="0"/>
            </w:tcBorders>
            <w:shd w:val="clear" w:color="000000" w:fill="F1F1F1" w:themeFill="background1" w:themeFillShade="F2"/>
            <w:vAlign w:val="center"/>
          </w:tcPr>
          <w:p>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名称</w:t>
            </w:r>
          </w:p>
        </w:tc>
        <w:tc>
          <w:tcPr>
            <w:tcW w:w="3686" w:type="dxa"/>
            <w:tcBorders>
              <w:top w:val="single" w:color="auto" w:sz="4" w:space="0"/>
              <w:left w:val="nil"/>
              <w:bottom w:val="single" w:color="auto" w:sz="4" w:space="0"/>
              <w:right w:val="single" w:color="auto" w:sz="4" w:space="0"/>
            </w:tcBorders>
            <w:shd w:val="clear" w:color="000000" w:fill="F1F1F1" w:themeFill="background1" w:themeFillShade="F2"/>
            <w:vAlign w:val="center"/>
          </w:tcPr>
          <w:p>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参数描述</w:t>
            </w:r>
          </w:p>
        </w:tc>
        <w:tc>
          <w:tcPr>
            <w:tcW w:w="705" w:type="dxa"/>
            <w:tcBorders>
              <w:top w:val="single" w:color="auto" w:sz="4" w:space="0"/>
              <w:left w:val="nil"/>
              <w:bottom w:val="single" w:color="auto" w:sz="4" w:space="0"/>
              <w:right w:val="single" w:color="auto" w:sz="4" w:space="0"/>
            </w:tcBorders>
            <w:shd w:val="clear" w:color="000000" w:fill="F1F1F1" w:themeFill="background1" w:themeFillShade="F2"/>
            <w:vAlign w:val="center"/>
          </w:tcPr>
          <w:p>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品牌</w:t>
            </w:r>
          </w:p>
        </w:tc>
        <w:tc>
          <w:tcPr>
            <w:tcW w:w="805" w:type="dxa"/>
            <w:tcBorders>
              <w:top w:val="single" w:color="auto" w:sz="4" w:space="0"/>
              <w:left w:val="nil"/>
              <w:bottom w:val="single" w:color="auto" w:sz="4" w:space="0"/>
              <w:right w:val="single" w:color="auto" w:sz="4" w:space="0"/>
            </w:tcBorders>
            <w:shd w:val="clear" w:color="000000" w:fill="F1F1F1" w:themeFill="background1" w:themeFillShade="F2"/>
            <w:vAlign w:val="center"/>
          </w:tcPr>
          <w:p>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单位</w:t>
            </w:r>
          </w:p>
        </w:tc>
        <w:tc>
          <w:tcPr>
            <w:tcW w:w="709" w:type="dxa"/>
            <w:tcBorders>
              <w:top w:val="single" w:color="auto" w:sz="4" w:space="0"/>
              <w:left w:val="nil"/>
              <w:bottom w:val="single" w:color="auto" w:sz="4" w:space="0"/>
              <w:right w:val="single" w:color="auto" w:sz="4" w:space="0"/>
            </w:tcBorders>
            <w:shd w:val="clear" w:color="000000" w:fill="F1F1F1" w:themeFill="background1" w:themeFillShade="F2"/>
            <w:vAlign w:val="center"/>
          </w:tcPr>
          <w:p>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数量</w:t>
            </w:r>
          </w:p>
        </w:tc>
      </w:tr>
      <w:tr>
        <w:tblPrEx>
          <w:tblCellMar>
            <w:top w:w="0" w:type="dxa"/>
            <w:left w:w="108" w:type="dxa"/>
            <w:bottom w:w="0" w:type="dxa"/>
            <w:right w:w="108" w:type="dxa"/>
          </w:tblCellMar>
        </w:tblPrEx>
        <w:trPr>
          <w:trHeight w:val="1408" w:hRule="atLeast"/>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中心管理服务器</w:t>
            </w:r>
          </w:p>
        </w:tc>
        <w:tc>
          <w:tcPr>
            <w:tcW w:w="368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THINKSERVER RD530</w:t>
            </w:r>
          </w:p>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1U机架式机箱/硬盘 300G*2/处理器E5-2603/ DDR3  内存 4G /3个千兆网卡/阵列卡：512MB </w:t>
            </w:r>
          </w:p>
        </w:tc>
        <w:tc>
          <w:tcPr>
            <w:tcW w:w="70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联想</w:t>
            </w:r>
          </w:p>
        </w:tc>
        <w:tc>
          <w:tcPr>
            <w:tcW w:w="80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r>
      <w:tr>
        <w:tblPrEx>
          <w:tblCellMar>
            <w:top w:w="0" w:type="dxa"/>
            <w:left w:w="108" w:type="dxa"/>
            <w:bottom w:w="0" w:type="dxa"/>
            <w:right w:w="108" w:type="dxa"/>
          </w:tblCellMar>
        </w:tblPrEx>
        <w:trPr>
          <w:trHeight w:val="1992"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p>
        </w:tc>
        <w:tc>
          <w:tcPr>
            <w:tcW w:w="17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流媒体转发服务器</w:t>
            </w:r>
          </w:p>
        </w:tc>
        <w:tc>
          <w:tcPr>
            <w:tcW w:w="368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THINKSERVER RD530</w:t>
            </w:r>
          </w:p>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主要技术参数：1U机架式机箱/硬盘 300G*2/至强™处理器E5-2609 /内存：8GB DDR3 1333 ECC DIMM /集成Intel千兆自适应网卡，支持网卡冗余、负载均衡 </w:t>
            </w:r>
          </w:p>
        </w:tc>
        <w:tc>
          <w:tcPr>
            <w:tcW w:w="70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联想</w:t>
            </w:r>
          </w:p>
        </w:tc>
        <w:tc>
          <w:tcPr>
            <w:tcW w:w="80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p>
        </w:tc>
      </w:tr>
      <w:tr>
        <w:tblPrEx>
          <w:tblCellMar>
            <w:top w:w="0" w:type="dxa"/>
            <w:left w:w="108" w:type="dxa"/>
            <w:bottom w:w="0" w:type="dxa"/>
            <w:right w:w="108" w:type="dxa"/>
          </w:tblCellMar>
        </w:tblPrEx>
        <w:trPr>
          <w:trHeight w:val="1678"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p>
        </w:tc>
        <w:tc>
          <w:tcPr>
            <w:tcW w:w="17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储存扩展柜（20个硬盘容量）</w:t>
            </w:r>
          </w:p>
        </w:tc>
        <w:tc>
          <w:tcPr>
            <w:tcW w:w="368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SS8020</w:t>
            </w:r>
          </w:p>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单机20个盘位/热插拔冗余电源/硬盘热抽拔式/多路高容量并发视频存储和读取功能/RAID0,1 , 5, 6,10 /4GB高速缓存 </w:t>
            </w:r>
          </w:p>
        </w:tc>
        <w:tc>
          <w:tcPr>
            <w:tcW w:w="70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欧讯特</w:t>
            </w:r>
          </w:p>
        </w:tc>
        <w:tc>
          <w:tcPr>
            <w:tcW w:w="80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p>
        </w:tc>
      </w:tr>
      <w:tr>
        <w:tblPrEx>
          <w:tblCellMar>
            <w:top w:w="0" w:type="dxa"/>
            <w:left w:w="108" w:type="dxa"/>
            <w:bottom w:w="0" w:type="dxa"/>
            <w:right w:w="108" w:type="dxa"/>
          </w:tblCellMar>
        </w:tblPrEx>
        <w:trPr>
          <w:trHeight w:val="559"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w:t>
            </w:r>
          </w:p>
        </w:tc>
        <w:tc>
          <w:tcPr>
            <w:tcW w:w="17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硬盘（2T）</w:t>
            </w:r>
          </w:p>
        </w:tc>
        <w:tc>
          <w:tcPr>
            <w:tcW w:w="368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WD RE4 2T/64M缓存/7200转 </w:t>
            </w:r>
          </w:p>
        </w:tc>
        <w:tc>
          <w:tcPr>
            <w:tcW w:w="70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西部</w:t>
            </w:r>
          </w:p>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数据</w:t>
            </w:r>
          </w:p>
        </w:tc>
        <w:tc>
          <w:tcPr>
            <w:tcW w:w="80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块</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60</w:t>
            </w:r>
          </w:p>
        </w:tc>
      </w:tr>
      <w:tr>
        <w:tblPrEx>
          <w:tblCellMar>
            <w:top w:w="0" w:type="dxa"/>
            <w:left w:w="108" w:type="dxa"/>
            <w:bottom w:w="0" w:type="dxa"/>
            <w:right w:w="108" w:type="dxa"/>
          </w:tblCellMar>
        </w:tblPrEx>
        <w:trPr>
          <w:trHeight w:val="1738"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p>
        </w:tc>
        <w:tc>
          <w:tcPr>
            <w:tcW w:w="17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监控工作站</w:t>
            </w:r>
          </w:p>
        </w:tc>
        <w:tc>
          <w:tcPr>
            <w:tcW w:w="368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英特尔® 奔腾® 处理器 G645 (2.90GHz, 1066MHz 前端系统总线, 3MB 二级高速缓存)/2 GB 单通道 DDR3 SDRAM，1333 MHz/512M显卡/DVD光驱/23寸液晶显示器/6个USB接口 </w:t>
            </w:r>
          </w:p>
        </w:tc>
        <w:tc>
          <w:tcPr>
            <w:tcW w:w="70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联想</w:t>
            </w:r>
          </w:p>
        </w:tc>
        <w:tc>
          <w:tcPr>
            <w:tcW w:w="80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w:t>
            </w:r>
          </w:p>
        </w:tc>
      </w:tr>
      <w:tr>
        <w:tblPrEx>
          <w:tblCellMar>
            <w:top w:w="0" w:type="dxa"/>
            <w:left w:w="108" w:type="dxa"/>
            <w:bottom w:w="0" w:type="dxa"/>
            <w:right w:w="108" w:type="dxa"/>
          </w:tblCellMar>
        </w:tblPrEx>
        <w:trPr>
          <w:trHeight w:val="1874"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w:t>
            </w:r>
          </w:p>
        </w:tc>
        <w:tc>
          <w:tcPr>
            <w:tcW w:w="17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核心层以太网交换机</w:t>
            </w:r>
          </w:p>
        </w:tc>
        <w:tc>
          <w:tcPr>
            <w:tcW w:w="368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LS-5500-20TP-SI+7个单模光模块</w:t>
            </w:r>
          </w:p>
          <w:p>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主要技术参数：千兆以太网交换机/三层/背板带宽，192Gbps/交换方式：存储-转发/12个千兆光端口，8个千兆电口 /配置7个H3C的单模千兆光纤模块 </w:t>
            </w:r>
          </w:p>
        </w:tc>
        <w:tc>
          <w:tcPr>
            <w:tcW w:w="70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H3C</w:t>
            </w:r>
          </w:p>
        </w:tc>
        <w:tc>
          <w:tcPr>
            <w:tcW w:w="80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r>
    </w:tbl>
    <w:p>
      <w:pPr>
        <w:spacing w:before="120" w:after="120"/>
        <w:ind w:firstLine="480"/>
        <w:rPr>
          <w:rFonts w:hint="eastAsia" w:ascii="宋体" w:hAnsi="宋体"/>
        </w:rPr>
      </w:pPr>
      <w:r>
        <w:rPr>
          <w:rFonts w:hint="eastAsia" w:ascii="宋体" w:hAnsi="宋体"/>
        </w:rPr>
        <w:t>第二期监控加强了校园内部少量重点部位的监控，但因平台和摄像机采用私有协议，无法支撑后续项目的扩容、设备老化等原因，目前所建摄像机也基本已经停用或被替代。</w:t>
      </w:r>
    </w:p>
    <w:p>
      <w:pPr>
        <w:pStyle w:val="6"/>
        <w:keepNext/>
        <w:keepLines/>
        <w:pageBreakBefore w:val="0"/>
        <w:widowControl w:val="0"/>
        <w:kinsoku/>
        <w:wordWrap/>
        <w:overflowPunct/>
        <w:topLinePunct w:val="0"/>
        <w:autoSpaceDE/>
        <w:autoSpaceDN/>
        <w:bidi w:val="0"/>
        <w:adjustRightInd/>
        <w:snapToGrid/>
        <w:spacing w:before="380" w:after="140" w:line="377" w:lineRule="auto"/>
        <w:ind w:left="482" w:leftChars="0" w:firstLine="0" w:firstLineChars="0"/>
        <w:textAlignment w:val="auto"/>
        <w:outlineLvl w:val="4"/>
        <w:rPr>
          <w:rFonts w:hint="eastAsia"/>
        </w:rPr>
      </w:pPr>
      <w:bookmarkStart w:id="20" w:name="_Toc48513834"/>
      <w:bookmarkStart w:id="21" w:name="_Toc71212679"/>
      <w:bookmarkStart w:id="22" w:name="_Toc48513763"/>
      <w:r>
        <w:rPr>
          <w:rFonts w:hint="eastAsia"/>
        </w:rPr>
        <w:t>安防视频监控系统（三期）现状</w:t>
      </w:r>
      <w:bookmarkEnd w:id="20"/>
      <w:bookmarkEnd w:id="21"/>
      <w:bookmarkEnd w:id="22"/>
    </w:p>
    <w:p>
      <w:pPr>
        <w:spacing w:before="120" w:after="120"/>
        <w:ind w:firstLine="480"/>
        <w:rPr>
          <w:rFonts w:hint="eastAsia" w:ascii="宋体" w:hAnsi="宋体"/>
        </w:rPr>
      </w:pPr>
      <w:r>
        <w:rPr>
          <w:rFonts w:hint="eastAsia" w:ascii="宋体" w:hAnsi="宋体"/>
        </w:rPr>
        <w:t>安防视频监控系统（三期）建设开始于2016年，第三期建设规模为280台摄像机。其中，26台为替换旧有损坏摄像机；161台摄像机设置在</w:t>
      </w:r>
      <w:r>
        <w:rPr>
          <w:rFonts w:hint="eastAsia" w:ascii="宋体" w:hAnsi="宋体"/>
          <w:lang w:eastAsia="zh-CN"/>
        </w:rPr>
        <w:t>校本部</w:t>
      </w:r>
      <w:r>
        <w:rPr>
          <w:rFonts w:hint="eastAsia" w:ascii="宋体" w:hAnsi="宋体"/>
        </w:rPr>
        <w:t>，主要部署在校道，教学区通道、楼梯和部分宿舍楼梯；93台部署在金园校区，主要部署在校道、室外通道和学生宿舍口等。此外，三期在</w:t>
      </w:r>
      <w:r>
        <w:rPr>
          <w:rFonts w:hint="eastAsia" w:ascii="宋体" w:hAnsi="宋体"/>
          <w:lang w:eastAsia="zh-CN"/>
        </w:rPr>
        <w:t>校本部</w:t>
      </w:r>
      <w:r>
        <w:rPr>
          <w:rFonts w:hint="eastAsia" w:ascii="宋体" w:hAnsi="宋体"/>
        </w:rPr>
        <w:t>和金园校区均重新搭建了一套国标协议的监控系统平台，部署有平台一体机、磁盘阵列、高清解码器等设备，</w:t>
      </w:r>
      <w:r>
        <w:rPr>
          <w:rFonts w:hint="eastAsia" w:ascii="宋体" w:hAnsi="宋体"/>
          <w:lang w:val="en-US" w:eastAsia="zh-CN"/>
        </w:rPr>
        <w:t>校本部的</w:t>
      </w:r>
      <w:r>
        <w:rPr>
          <w:rFonts w:hint="eastAsia" w:ascii="宋体" w:hAnsi="宋体"/>
        </w:rPr>
        <w:t>主要设备如下：</w:t>
      </w:r>
    </w:p>
    <w:tbl>
      <w:tblPr>
        <w:tblStyle w:val="29"/>
        <w:tblW w:w="826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2020"/>
        <w:gridCol w:w="3480"/>
        <w:gridCol w:w="740"/>
        <w:gridCol w:w="640"/>
        <w:gridCol w:w="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trPr>
        <w:tc>
          <w:tcPr>
            <w:tcW w:w="640" w:type="dxa"/>
            <w:shd w:val="clear" w:color="000000" w:fill="F1F1F1" w:themeFill="background1" w:themeFillShade="F2"/>
            <w:vAlign w:val="center"/>
          </w:tcPr>
          <w:p>
            <w:pPr>
              <w:widowControl/>
              <w:spacing w:line="240" w:lineRule="auto"/>
              <w:ind w:firstLine="0" w:firstLineChars="0"/>
              <w:jc w:val="center"/>
              <w:rPr>
                <w:rFonts w:ascii="宋体" w:hAnsi="宋体" w:cs="宋体"/>
                <w:b/>
                <w:bCs/>
                <w:color w:val="000000"/>
                <w:kern w:val="0"/>
                <w:sz w:val="20"/>
                <w:szCs w:val="20"/>
              </w:rPr>
            </w:pPr>
            <w:r>
              <w:rPr>
                <w:rFonts w:hint="eastAsia" w:ascii="宋体" w:hAnsi="宋体" w:cs="宋体"/>
                <w:b/>
                <w:bCs/>
                <w:color w:val="000000"/>
                <w:kern w:val="0"/>
                <w:sz w:val="20"/>
                <w:szCs w:val="20"/>
              </w:rPr>
              <w:t>序号</w:t>
            </w:r>
          </w:p>
        </w:tc>
        <w:tc>
          <w:tcPr>
            <w:tcW w:w="2020" w:type="dxa"/>
            <w:shd w:val="clear" w:color="000000" w:fill="F1F1F1" w:themeFill="background1" w:themeFillShade="F2"/>
            <w:vAlign w:val="center"/>
          </w:tcPr>
          <w:p>
            <w:pPr>
              <w:widowControl/>
              <w:spacing w:line="240" w:lineRule="auto"/>
              <w:ind w:firstLine="0" w:firstLineChars="0"/>
              <w:jc w:val="center"/>
              <w:rPr>
                <w:rFonts w:ascii="宋体" w:hAnsi="宋体" w:cs="宋体"/>
                <w:b/>
                <w:bCs/>
                <w:color w:val="000000"/>
                <w:kern w:val="0"/>
                <w:sz w:val="20"/>
                <w:szCs w:val="20"/>
              </w:rPr>
            </w:pPr>
            <w:r>
              <w:rPr>
                <w:rFonts w:hint="eastAsia" w:ascii="宋体" w:hAnsi="宋体" w:cs="宋体"/>
                <w:b/>
                <w:bCs/>
                <w:color w:val="000000"/>
                <w:kern w:val="0"/>
                <w:sz w:val="20"/>
                <w:szCs w:val="20"/>
              </w:rPr>
              <w:t>设备</w:t>
            </w:r>
          </w:p>
        </w:tc>
        <w:tc>
          <w:tcPr>
            <w:tcW w:w="3480" w:type="dxa"/>
            <w:shd w:val="clear" w:color="000000" w:fill="F1F1F1" w:themeFill="background1" w:themeFillShade="F2"/>
            <w:vAlign w:val="center"/>
          </w:tcPr>
          <w:p>
            <w:pPr>
              <w:widowControl/>
              <w:spacing w:line="240" w:lineRule="auto"/>
              <w:ind w:firstLine="0" w:firstLineChars="0"/>
              <w:jc w:val="center"/>
              <w:rPr>
                <w:rFonts w:ascii="宋体" w:hAnsi="宋体" w:cs="宋体"/>
                <w:b/>
                <w:bCs/>
                <w:color w:val="000000"/>
                <w:kern w:val="0"/>
                <w:sz w:val="20"/>
                <w:szCs w:val="20"/>
              </w:rPr>
            </w:pPr>
            <w:r>
              <w:rPr>
                <w:rFonts w:hint="eastAsia" w:ascii="宋体" w:hAnsi="宋体" w:cs="宋体"/>
                <w:b/>
                <w:bCs/>
                <w:color w:val="000000"/>
                <w:kern w:val="0"/>
                <w:sz w:val="20"/>
                <w:szCs w:val="20"/>
              </w:rPr>
              <w:t>参数</w:t>
            </w:r>
          </w:p>
        </w:tc>
        <w:tc>
          <w:tcPr>
            <w:tcW w:w="740" w:type="dxa"/>
            <w:shd w:val="clear" w:color="000000" w:fill="F1F1F1" w:themeFill="background1" w:themeFillShade="F2"/>
            <w:vAlign w:val="center"/>
          </w:tcPr>
          <w:p>
            <w:pPr>
              <w:widowControl/>
              <w:spacing w:line="240" w:lineRule="auto"/>
              <w:ind w:firstLine="0" w:firstLineChars="0"/>
              <w:jc w:val="center"/>
              <w:rPr>
                <w:rFonts w:ascii="宋体" w:hAnsi="宋体" w:cs="宋体"/>
                <w:b/>
                <w:bCs/>
                <w:color w:val="000000"/>
                <w:kern w:val="0"/>
                <w:sz w:val="20"/>
                <w:szCs w:val="20"/>
              </w:rPr>
            </w:pPr>
            <w:r>
              <w:rPr>
                <w:rFonts w:hint="eastAsia" w:ascii="宋体" w:hAnsi="宋体" w:cs="宋体"/>
                <w:b/>
                <w:bCs/>
                <w:color w:val="000000"/>
                <w:kern w:val="0"/>
                <w:sz w:val="20"/>
                <w:szCs w:val="20"/>
              </w:rPr>
              <w:t>品牌</w:t>
            </w:r>
          </w:p>
        </w:tc>
        <w:tc>
          <w:tcPr>
            <w:tcW w:w="640" w:type="dxa"/>
            <w:shd w:val="clear" w:color="000000" w:fill="F1F1F1" w:themeFill="background1" w:themeFillShade="F2"/>
            <w:vAlign w:val="center"/>
          </w:tcPr>
          <w:p>
            <w:pPr>
              <w:widowControl/>
              <w:spacing w:line="240" w:lineRule="auto"/>
              <w:ind w:firstLine="0" w:firstLineChars="0"/>
              <w:jc w:val="center"/>
              <w:rPr>
                <w:rFonts w:ascii="宋体" w:hAnsi="宋体" w:cs="宋体"/>
                <w:b/>
                <w:bCs/>
                <w:color w:val="000000"/>
                <w:kern w:val="0"/>
                <w:sz w:val="20"/>
                <w:szCs w:val="20"/>
              </w:rPr>
            </w:pPr>
            <w:r>
              <w:rPr>
                <w:rFonts w:hint="eastAsia" w:ascii="宋体" w:hAnsi="宋体" w:cs="宋体"/>
                <w:b/>
                <w:bCs/>
                <w:color w:val="000000"/>
                <w:kern w:val="0"/>
                <w:sz w:val="20"/>
                <w:szCs w:val="20"/>
              </w:rPr>
              <w:t>单位</w:t>
            </w:r>
          </w:p>
        </w:tc>
        <w:tc>
          <w:tcPr>
            <w:tcW w:w="740" w:type="dxa"/>
            <w:shd w:val="clear" w:color="000000" w:fill="F1F1F1" w:themeFill="background1" w:themeFillShade="F2"/>
            <w:vAlign w:val="center"/>
          </w:tcPr>
          <w:p>
            <w:pPr>
              <w:widowControl/>
              <w:spacing w:line="240" w:lineRule="auto"/>
              <w:ind w:firstLine="0" w:firstLineChars="0"/>
              <w:jc w:val="center"/>
              <w:rPr>
                <w:rFonts w:ascii="宋体" w:hAnsi="宋体" w:cs="宋体"/>
                <w:b/>
                <w:bCs/>
                <w:color w:val="000000"/>
                <w:kern w:val="0"/>
                <w:sz w:val="20"/>
                <w:szCs w:val="20"/>
              </w:rPr>
            </w:pPr>
            <w:r>
              <w:rPr>
                <w:rFonts w:hint="eastAsia" w:ascii="宋体" w:hAnsi="宋体" w:cs="宋体"/>
                <w:b/>
                <w:bCs/>
                <w:color w:val="000000"/>
                <w:kern w:val="0"/>
                <w:sz w:val="20"/>
                <w:szCs w:val="20"/>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2020" w:type="dxa"/>
            <w:shd w:val="clear" w:color="auto" w:fill="auto"/>
            <w:vAlign w:val="center"/>
          </w:tcPr>
          <w:p>
            <w:pPr>
              <w:widowControl/>
              <w:spacing w:line="240" w:lineRule="auto"/>
              <w:ind w:firstLine="0" w:firstLineChars="0"/>
              <w:jc w:val="left"/>
              <w:rPr>
                <w:rFonts w:ascii="宋体" w:hAnsi="宋体" w:cs="宋体"/>
                <w:color w:val="000000"/>
                <w:kern w:val="0"/>
                <w:sz w:val="20"/>
                <w:szCs w:val="20"/>
              </w:rPr>
            </w:pPr>
            <w:r>
              <w:rPr>
                <w:rFonts w:hint="eastAsia" w:ascii="宋体" w:hAnsi="宋体" w:cs="宋体"/>
                <w:color w:val="000000"/>
                <w:kern w:val="0"/>
                <w:sz w:val="20"/>
                <w:szCs w:val="20"/>
              </w:rPr>
              <w:t>网络型摄像机</w:t>
            </w:r>
          </w:p>
        </w:tc>
        <w:tc>
          <w:tcPr>
            <w:tcW w:w="3480" w:type="dxa"/>
            <w:shd w:val="clear" w:color="auto" w:fill="auto"/>
            <w:vAlign w:val="center"/>
          </w:tcPr>
          <w:p>
            <w:pPr>
              <w:widowControl/>
              <w:spacing w:line="240" w:lineRule="auto"/>
              <w:ind w:firstLine="0" w:firstLineChars="0"/>
              <w:jc w:val="left"/>
              <w:rPr>
                <w:rFonts w:ascii="宋体" w:hAnsi="宋体" w:cs="宋体"/>
                <w:color w:val="000000"/>
                <w:kern w:val="0"/>
                <w:sz w:val="20"/>
                <w:szCs w:val="20"/>
              </w:rPr>
            </w:pPr>
            <w:r>
              <w:rPr>
                <w:rFonts w:hint="eastAsia" w:ascii="宋体" w:hAnsi="宋体" w:cs="宋体"/>
                <w:color w:val="000000"/>
                <w:kern w:val="0"/>
                <w:sz w:val="20"/>
                <w:szCs w:val="20"/>
              </w:rPr>
              <w:t>1</w:t>
            </w:r>
            <w:r>
              <w:rPr>
                <w:rFonts w:ascii="宋体" w:hAnsi="宋体" w:cs="宋体"/>
                <w:color w:val="000000"/>
                <w:kern w:val="0"/>
                <w:sz w:val="20"/>
                <w:szCs w:val="20"/>
              </w:rPr>
              <w:t>30</w:t>
            </w:r>
            <w:r>
              <w:rPr>
                <w:rFonts w:hint="eastAsia" w:ascii="宋体" w:hAnsi="宋体" w:cs="宋体"/>
                <w:color w:val="000000"/>
                <w:kern w:val="0"/>
                <w:sz w:val="20"/>
                <w:szCs w:val="20"/>
              </w:rPr>
              <w:t>万像素</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大华</w:t>
            </w:r>
          </w:p>
        </w:tc>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1</w:t>
            </w:r>
            <w:r>
              <w:rPr>
                <w:rFonts w:ascii="宋体" w:hAnsi="宋体" w:cs="宋体"/>
                <w:color w:val="000000"/>
                <w:kern w:val="0"/>
                <w:sz w:val="20"/>
                <w:szCs w:val="20"/>
              </w:rPr>
              <w:t>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ascii="宋体" w:hAnsi="宋体" w:cs="宋体"/>
                <w:color w:val="000000"/>
                <w:kern w:val="0"/>
                <w:sz w:val="20"/>
                <w:szCs w:val="20"/>
              </w:rPr>
              <w:t>2</w:t>
            </w:r>
          </w:p>
        </w:tc>
        <w:tc>
          <w:tcPr>
            <w:tcW w:w="2020" w:type="dxa"/>
            <w:shd w:val="clear" w:color="auto" w:fill="auto"/>
            <w:vAlign w:val="center"/>
          </w:tcPr>
          <w:p>
            <w:pPr>
              <w:widowControl/>
              <w:spacing w:line="240" w:lineRule="auto"/>
              <w:ind w:firstLine="0" w:firstLineChars="0"/>
              <w:jc w:val="left"/>
              <w:rPr>
                <w:rFonts w:ascii="宋体" w:hAnsi="宋体" w:cs="宋体"/>
                <w:color w:val="000000"/>
                <w:kern w:val="0"/>
                <w:sz w:val="20"/>
                <w:szCs w:val="20"/>
              </w:rPr>
            </w:pPr>
            <w:r>
              <w:rPr>
                <w:rFonts w:hint="eastAsia" w:ascii="宋体" w:hAnsi="宋体" w:cs="宋体"/>
                <w:color w:val="000000"/>
                <w:kern w:val="0"/>
                <w:sz w:val="20"/>
                <w:szCs w:val="20"/>
              </w:rPr>
              <w:t>监控管理平台一体机</w:t>
            </w:r>
          </w:p>
        </w:tc>
        <w:tc>
          <w:tcPr>
            <w:tcW w:w="3480" w:type="dxa"/>
            <w:shd w:val="clear" w:color="auto" w:fill="auto"/>
            <w:vAlign w:val="center"/>
          </w:tcPr>
          <w:p>
            <w:pPr>
              <w:widowControl/>
              <w:spacing w:line="240" w:lineRule="auto"/>
              <w:ind w:firstLine="0" w:firstLineChars="0"/>
              <w:jc w:val="left"/>
              <w:rPr>
                <w:rFonts w:ascii="宋体" w:hAnsi="宋体" w:cs="宋体"/>
                <w:color w:val="000000"/>
                <w:kern w:val="0"/>
                <w:sz w:val="20"/>
                <w:szCs w:val="20"/>
              </w:rPr>
            </w:pPr>
            <w:r>
              <w:rPr>
                <w:rFonts w:hint="eastAsia" w:ascii="宋体" w:hAnsi="宋体" w:cs="宋体"/>
                <w:color w:val="000000"/>
                <w:kern w:val="0"/>
                <w:sz w:val="20"/>
                <w:szCs w:val="20"/>
              </w:rPr>
              <w:t>支持≥700Mbps码流接入、≥700Mbps码流存储和≥700Mbps码流转发；支持不少于16个硬盘槽位</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大华</w:t>
            </w:r>
          </w:p>
        </w:tc>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ascii="宋体" w:hAnsi="宋体" w:cs="宋体"/>
                <w:color w:val="000000"/>
                <w:kern w:val="0"/>
                <w:sz w:val="20"/>
                <w:szCs w:val="20"/>
              </w:rPr>
              <w:t>3</w:t>
            </w:r>
          </w:p>
        </w:tc>
        <w:tc>
          <w:tcPr>
            <w:tcW w:w="2020" w:type="dxa"/>
            <w:shd w:val="clear" w:color="auto" w:fill="auto"/>
            <w:vAlign w:val="center"/>
          </w:tcPr>
          <w:p>
            <w:pPr>
              <w:widowControl/>
              <w:spacing w:line="240" w:lineRule="auto"/>
              <w:ind w:firstLine="0" w:firstLineChars="0"/>
              <w:jc w:val="left"/>
              <w:rPr>
                <w:rFonts w:ascii="宋体" w:hAnsi="宋体" w:cs="宋体"/>
                <w:color w:val="000000"/>
                <w:kern w:val="0"/>
                <w:sz w:val="20"/>
                <w:szCs w:val="20"/>
              </w:rPr>
            </w:pPr>
            <w:r>
              <w:rPr>
                <w:rFonts w:hint="eastAsia" w:ascii="宋体" w:hAnsi="宋体" w:cs="宋体"/>
                <w:color w:val="000000"/>
                <w:kern w:val="0"/>
                <w:sz w:val="20"/>
                <w:szCs w:val="20"/>
              </w:rPr>
              <w:t>磁盘阵列</w:t>
            </w:r>
          </w:p>
        </w:tc>
        <w:tc>
          <w:tcPr>
            <w:tcW w:w="3480" w:type="dxa"/>
            <w:shd w:val="clear" w:color="auto" w:fill="auto"/>
            <w:vAlign w:val="center"/>
          </w:tcPr>
          <w:p>
            <w:pPr>
              <w:widowControl/>
              <w:spacing w:line="240" w:lineRule="auto"/>
              <w:ind w:firstLine="0" w:firstLineChars="0"/>
              <w:jc w:val="left"/>
              <w:rPr>
                <w:rFonts w:ascii="宋体" w:hAnsi="宋体" w:cs="宋体"/>
                <w:color w:val="000000"/>
                <w:kern w:val="0"/>
                <w:sz w:val="20"/>
                <w:szCs w:val="20"/>
              </w:rPr>
            </w:pPr>
            <w:r>
              <w:rPr>
                <w:rFonts w:hint="eastAsia" w:ascii="宋体" w:hAnsi="宋体" w:cs="宋体"/>
                <w:color w:val="000000"/>
                <w:kern w:val="0"/>
                <w:sz w:val="20"/>
                <w:szCs w:val="20"/>
              </w:rPr>
              <w:t>支持不少于48个硬盘槽位，支持1TB\2TB\3TB\4TB\6TB SATA硬盘</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大华</w:t>
            </w:r>
          </w:p>
        </w:tc>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ascii="宋体" w:hAnsi="宋体" w:cs="宋体"/>
                <w:color w:val="000000"/>
                <w:kern w:val="0"/>
                <w:sz w:val="20"/>
                <w:szCs w:val="20"/>
              </w:rPr>
              <w:t>4</w:t>
            </w:r>
          </w:p>
        </w:tc>
        <w:tc>
          <w:tcPr>
            <w:tcW w:w="2020" w:type="dxa"/>
            <w:shd w:val="clear" w:color="auto" w:fill="auto"/>
            <w:vAlign w:val="center"/>
          </w:tcPr>
          <w:p>
            <w:pPr>
              <w:widowControl/>
              <w:spacing w:line="240" w:lineRule="auto"/>
              <w:ind w:firstLine="0" w:firstLineChars="0"/>
              <w:jc w:val="left"/>
              <w:rPr>
                <w:rFonts w:ascii="宋体" w:hAnsi="宋体" w:cs="宋体"/>
                <w:color w:val="000000"/>
                <w:kern w:val="0"/>
                <w:sz w:val="20"/>
                <w:szCs w:val="20"/>
              </w:rPr>
            </w:pPr>
            <w:r>
              <w:rPr>
                <w:rFonts w:hint="eastAsia" w:ascii="宋体" w:hAnsi="宋体" w:cs="宋体"/>
                <w:color w:val="000000"/>
                <w:kern w:val="0"/>
                <w:sz w:val="20"/>
                <w:szCs w:val="20"/>
              </w:rPr>
              <w:t>监控硬盘</w:t>
            </w:r>
          </w:p>
        </w:tc>
        <w:tc>
          <w:tcPr>
            <w:tcW w:w="3480" w:type="dxa"/>
            <w:shd w:val="clear" w:color="auto" w:fill="auto"/>
            <w:vAlign w:val="center"/>
          </w:tcPr>
          <w:p>
            <w:pPr>
              <w:widowControl/>
              <w:spacing w:line="240" w:lineRule="auto"/>
              <w:ind w:firstLine="0" w:firstLineChars="0"/>
              <w:jc w:val="left"/>
              <w:rPr>
                <w:rFonts w:ascii="宋体" w:hAnsi="宋体" w:cs="宋体"/>
                <w:color w:val="000000"/>
                <w:kern w:val="0"/>
                <w:sz w:val="20"/>
                <w:szCs w:val="20"/>
              </w:rPr>
            </w:pPr>
            <w:r>
              <w:rPr>
                <w:rFonts w:hint="eastAsia" w:ascii="宋体" w:hAnsi="宋体" w:cs="宋体"/>
                <w:color w:val="000000"/>
                <w:kern w:val="0"/>
                <w:sz w:val="20"/>
                <w:szCs w:val="20"/>
              </w:rPr>
              <w:t>4TB</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希捷</w:t>
            </w:r>
          </w:p>
        </w:tc>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块</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ascii="宋体" w:hAnsi="宋体" w:cs="宋体"/>
                <w:color w:val="000000"/>
                <w:kern w:val="0"/>
                <w:sz w:val="20"/>
                <w:szCs w:val="20"/>
              </w:rPr>
              <w:t>5</w:t>
            </w:r>
          </w:p>
        </w:tc>
        <w:tc>
          <w:tcPr>
            <w:tcW w:w="2020" w:type="dxa"/>
            <w:shd w:val="clear" w:color="auto" w:fill="auto"/>
            <w:vAlign w:val="center"/>
          </w:tcPr>
          <w:p>
            <w:pPr>
              <w:widowControl/>
              <w:spacing w:line="240" w:lineRule="auto"/>
              <w:ind w:firstLine="0" w:firstLineChars="0"/>
              <w:jc w:val="left"/>
              <w:rPr>
                <w:rFonts w:ascii="宋体" w:hAnsi="宋体" w:cs="宋体"/>
                <w:color w:val="000000"/>
                <w:kern w:val="0"/>
                <w:sz w:val="20"/>
                <w:szCs w:val="20"/>
              </w:rPr>
            </w:pPr>
            <w:r>
              <w:rPr>
                <w:rFonts w:hint="eastAsia" w:ascii="宋体" w:hAnsi="宋体" w:cs="宋体"/>
                <w:color w:val="000000"/>
                <w:kern w:val="0"/>
                <w:sz w:val="20"/>
                <w:szCs w:val="20"/>
              </w:rPr>
              <w:t>高清解码器</w:t>
            </w:r>
          </w:p>
        </w:tc>
        <w:tc>
          <w:tcPr>
            <w:tcW w:w="3480" w:type="dxa"/>
            <w:shd w:val="clear" w:color="auto" w:fill="auto"/>
            <w:vAlign w:val="center"/>
          </w:tcPr>
          <w:p>
            <w:pPr>
              <w:widowControl/>
              <w:spacing w:line="240" w:lineRule="auto"/>
              <w:ind w:firstLine="0" w:firstLineChars="0"/>
              <w:jc w:val="left"/>
              <w:rPr>
                <w:rFonts w:ascii="宋体" w:hAnsi="宋体" w:cs="宋体"/>
                <w:color w:val="000000"/>
                <w:kern w:val="0"/>
                <w:sz w:val="20"/>
                <w:szCs w:val="20"/>
              </w:rPr>
            </w:pPr>
            <w:r>
              <w:rPr>
                <w:rFonts w:hint="eastAsia" w:ascii="宋体" w:hAnsi="宋体" w:cs="宋体"/>
                <w:color w:val="000000"/>
                <w:kern w:val="0"/>
                <w:sz w:val="20"/>
                <w:szCs w:val="20"/>
              </w:rPr>
              <w:t>支持16路1080P，每个输出接口最大16个画面分割</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大华</w:t>
            </w:r>
          </w:p>
        </w:tc>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ascii="宋体" w:hAnsi="宋体" w:cs="宋体"/>
                <w:color w:val="000000"/>
                <w:kern w:val="0"/>
                <w:sz w:val="20"/>
                <w:szCs w:val="20"/>
              </w:rPr>
              <w:t>6</w:t>
            </w:r>
          </w:p>
        </w:tc>
        <w:tc>
          <w:tcPr>
            <w:tcW w:w="2020" w:type="dxa"/>
            <w:shd w:val="clear" w:color="auto" w:fill="auto"/>
            <w:vAlign w:val="center"/>
          </w:tcPr>
          <w:p>
            <w:pPr>
              <w:widowControl/>
              <w:spacing w:line="240" w:lineRule="auto"/>
              <w:ind w:firstLine="0" w:firstLineChars="0"/>
              <w:jc w:val="left"/>
              <w:rPr>
                <w:rFonts w:ascii="宋体" w:hAnsi="宋体" w:cs="宋体"/>
                <w:color w:val="000000"/>
                <w:kern w:val="0"/>
                <w:sz w:val="20"/>
                <w:szCs w:val="20"/>
              </w:rPr>
            </w:pPr>
            <w:r>
              <w:rPr>
                <w:rFonts w:hint="eastAsia" w:ascii="宋体" w:hAnsi="宋体" w:cs="宋体"/>
                <w:color w:val="000000"/>
                <w:kern w:val="0"/>
                <w:sz w:val="20"/>
                <w:szCs w:val="20"/>
              </w:rPr>
              <w:t>液晶显示器</w:t>
            </w:r>
          </w:p>
        </w:tc>
        <w:tc>
          <w:tcPr>
            <w:tcW w:w="3480" w:type="dxa"/>
            <w:shd w:val="clear" w:color="auto" w:fill="auto"/>
            <w:vAlign w:val="center"/>
          </w:tcPr>
          <w:p>
            <w:pPr>
              <w:widowControl/>
              <w:spacing w:line="240" w:lineRule="auto"/>
              <w:ind w:firstLine="0" w:firstLineChars="0"/>
              <w:jc w:val="left"/>
              <w:rPr>
                <w:rFonts w:ascii="宋体" w:hAnsi="宋体" w:cs="宋体"/>
                <w:color w:val="000000"/>
                <w:kern w:val="0"/>
                <w:sz w:val="20"/>
                <w:szCs w:val="20"/>
              </w:rPr>
            </w:pPr>
            <w:r>
              <w:rPr>
                <w:rFonts w:hint="eastAsia" w:ascii="宋体" w:hAnsi="宋体" w:cs="宋体"/>
                <w:color w:val="000000"/>
                <w:kern w:val="0"/>
                <w:sz w:val="20"/>
                <w:szCs w:val="20"/>
              </w:rPr>
              <w:t>55英寸</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TCL</w:t>
            </w:r>
          </w:p>
        </w:tc>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ascii="宋体" w:hAnsi="宋体" w:cs="宋体"/>
                <w:color w:val="000000"/>
                <w:kern w:val="0"/>
                <w:sz w:val="20"/>
                <w:szCs w:val="20"/>
              </w:rPr>
              <w:t>7</w:t>
            </w:r>
          </w:p>
        </w:tc>
        <w:tc>
          <w:tcPr>
            <w:tcW w:w="2020" w:type="dxa"/>
            <w:shd w:val="clear" w:color="auto" w:fill="auto"/>
            <w:vAlign w:val="center"/>
          </w:tcPr>
          <w:p>
            <w:pPr>
              <w:widowControl/>
              <w:spacing w:line="240" w:lineRule="auto"/>
              <w:ind w:firstLine="0" w:firstLineChars="0"/>
              <w:jc w:val="left"/>
              <w:rPr>
                <w:rFonts w:ascii="宋体" w:hAnsi="宋体" w:cs="宋体"/>
                <w:color w:val="000000"/>
                <w:kern w:val="0"/>
                <w:sz w:val="20"/>
                <w:szCs w:val="20"/>
              </w:rPr>
            </w:pPr>
            <w:r>
              <w:rPr>
                <w:rFonts w:hint="eastAsia" w:ascii="宋体" w:hAnsi="宋体" w:cs="宋体"/>
                <w:color w:val="000000"/>
                <w:kern w:val="0"/>
                <w:sz w:val="20"/>
                <w:szCs w:val="20"/>
              </w:rPr>
              <w:t>核心交换机</w:t>
            </w:r>
          </w:p>
        </w:tc>
        <w:tc>
          <w:tcPr>
            <w:tcW w:w="3480" w:type="dxa"/>
            <w:shd w:val="clear" w:color="auto" w:fill="auto"/>
            <w:vAlign w:val="center"/>
          </w:tcPr>
          <w:p>
            <w:pPr>
              <w:widowControl/>
              <w:spacing w:line="240" w:lineRule="auto"/>
              <w:ind w:firstLine="0" w:firstLineChars="0"/>
              <w:jc w:val="left"/>
              <w:rPr>
                <w:rFonts w:ascii="宋体" w:hAnsi="宋体" w:cs="宋体"/>
                <w:color w:val="000000"/>
                <w:kern w:val="0"/>
                <w:sz w:val="20"/>
                <w:szCs w:val="20"/>
              </w:rPr>
            </w:pPr>
            <w:r>
              <w:rPr>
                <w:rFonts w:hint="eastAsia" w:ascii="宋体" w:hAnsi="宋体" w:cs="宋体"/>
                <w:color w:val="000000"/>
                <w:kern w:val="0"/>
                <w:sz w:val="20"/>
                <w:szCs w:val="20"/>
              </w:rPr>
              <w:t>S5700-52C-SI-AC1交换容量/背板带宽≥240Gbps</w:t>
            </w:r>
            <w:r>
              <w:rPr>
                <w:rFonts w:hint="eastAsia" w:ascii="宋体" w:hAnsi="宋体" w:cs="宋体"/>
                <w:color w:val="000000"/>
                <w:kern w:val="0"/>
                <w:sz w:val="20"/>
                <w:szCs w:val="20"/>
              </w:rPr>
              <w:br w:type="page"/>
            </w:r>
            <w:r>
              <w:rPr>
                <w:rFonts w:hint="eastAsia" w:ascii="宋体" w:hAnsi="宋体" w:cs="宋体"/>
                <w:color w:val="000000"/>
                <w:kern w:val="0"/>
                <w:sz w:val="20"/>
                <w:szCs w:val="20"/>
              </w:rPr>
              <w:t>2转发性能≥132Mpps</w:t>
            </w:r>
            <w:r>
              <w:rPr>
                <w:rFonts w:hint="eastAsia" w:ascii="宋体" w:hAnsi="宋体" w:cs="宋体"/>
                <w:color w:val="000000"/>
                <w:kern w:val="0"/>
                <w:sz w:val="20"/>
                <w:szCs w:val="20"/>
              </w:rPr>
              <w:br w:type="page"/>
            </w:r>
            <w:r>
              <w:rPr>
                <w:rFonts w:hint="eastAsia" w:ascii="宋体" w:hAnsi="宋体" w:cs="宋体"/>
                <w:color w:val="000000"/>
                <w:kern w:val="0"/>
                <w:sz w:val="20"/>
                <w:szCs w:val="20"/>
              </w:rPr>
              <w:t xml:space="preserve">3支持万兆接口数量≥4；可用千兆电接口数量≥48；千兆光接口数量≥4 </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华为</w:t>
            </w:r>
          </w:p>
        </w:tc>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ascii="宋体" w:hAnsi="宋体" w:cs="宋体"/>
                <w:color w:val="000000"/>
                <w:kern w:val="0"/>
                <w:sz w:val="20"/>
                <w:szCs w:val="20"/>
              </w:rPr>
              <w:t>8</w:t>
            </w:r>
          </w:p>
        </w:tc>
        <w:tc>
          <w:tcPr>
            <w:tcW w:w="2020" w:type="dxa"/>
            <w:shd w:val="clear" w:color="auto" w:fill="auto"/>
            <w:vAlign w:val="center"/>
          </w:tcPr>
          <w:p>
            <w:pPr>
              <w:widowControl/>
              <w:spacing w:line="240" w:lineRule="auto"/>
              <w:ind w:firstLine="0" w:firstLineChars="0"/>
              <w:jc w:val="left"/>
              <w:rPr>
                <w:rFonts w:ascii="宋体" w:hAnsi="宋体" w:cs="宋体"/>
                <w:color w:val="000000"/>
                <w:kern w:val="0"/>
                <w:sz w:val="20"/>
                <w:szCs w:val="20"/>
              </w:rPr>
            </w:pPr>
            <w:r>
              <w:rPr>
                <w:rFonts w:hint="eastAsia" w:ascii="宋体" w:hAnsi="宋体" w:cs="宋体"/>
                <w:color w:val="000000"/>
                <w:kern w:val="0"/>
                <w:sz w:val="20"/>
                <w:szCs w:val="20"/>
              </w:rPr>
              <w:t>汇聚交换机</w:t>
            </w:r>
          </w:p>
        </w:tc>
        <w:tc>
          <w:tcPr>
            <w:tcW w:w="3480" w:type="dxa"/>
            <w:shd w:val="clear" w:color="auto" w:fill="auto"/>
            <w:vAlign w:val="center"/>
          </w:tcPr>
          <w:p>
            <w:pPr>
              <w:widowControl/>
              <w:spacing w:line="240" w:lineRule="auto"/>
              <w:ind w:firstLine="0" w:firstLineChars="0"/>
              <w:jc w:val="left"/>
              <w:rPr>
                <w:rFonts w:ascii="宋体" w:hAnsi="宋体" w:cs="宋体"/>
                <w:color w:val="000000"/>
                <w:kern w:val="0"/>
                <w:sz w:val="20"/>
                <w:szCs w:val="20"/>
              </w:rPr>
            </w:pPr>
            <w:r>
              <w:rPr>
                <w:rFonts w:hint="eastAsia" w:ascii="宋体" w:hAnsi="宋体" w:cs="宋体"/>
                <w:color w:val="000000"/>
                <w:kern w:val="0"/>
                <w:sz w:val="20"/>
                <w:szCs w:val="20"/>
              </w:rPr>
              <w:t>s2700-52P-EI-AC52口，全百兆兆交换机，48个百兆电口，2个Combo口</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华为</w:t>
            </w:r>
          </w:p>
        </w:tc>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台</w:t>
            </w:r>
          </w:p>
        </w:tc>
        <w:tc>
          <w:tcPr>
            <w:tcW w:w="7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1</w:t>
            </w:r>
          </w:p>
        </w:tc>
      </w:tr>
    </w:tbl>
    <w:p>
      <w:pPr>
        <w:pStyle w:val="6"/>
        <w:keepNext/>
        <w:keepLines/>
        <w:pageBreakBefore w:val="0"/>
        <w:widowControl w:val="0"/>
        <w:kinsoku/>
        <w:wordWrap/>
        <w:overflowPunct/>
        <w:topLinePunct w:val="0"/>
        <w:autoSpaceDE/>
        <w:autoSpaceDN/>
        <w:bidi w:val="0"/>
        <w:adjustRightInd/>
        <w:snapToGrid/>
        <w:spacing w:before="380" w:after="140" w:line="377" w:lineRule="auto"/>
        <w:ind w:left="482" w:leftChars="0" w:firstLine="0" w:firstLineChars="0"/>
        <w:textAlignment w:val="auto"/>
        <w:outlineLvl w:val="4"/>
        <w:rPr>
          <w:rFonts w:asciiTheme="minorEastAsia" w:hAnsiTheme="minorEastAsia"/>
          <w:szCs w:val="24"/>
        </w:rPr>
      </w:pPr>
      <w:r>
        <w:rPr>
          <w:rFonts w:hint="eastAsia"/>
          <w:lang w:val="en-US" w:eastAsia="zh-CN"/>
        </w:rPr>
        <w:t>2022年</w:t>
      </w:r>
      <w:r>
        <w:rPr>
          <w:rFonts w:hint="eastAsia"/>
        </w:rPr>
        <w:t>视频监控系统升级改造项目现状</w:t>
      </w:r>
    </w:p>
    <w:p>
      <w:pPr>
        <w:keepNext w:val="0"/>
        <w:keepLines w:val="0"/>
        <w:pageBreakBefore w:val="0"/>
        <w:widowControl w:val="0"/>
        <w:kinsoku/>
        <w:wordWrap/>
        <w:overflowPunct/>
        <w:topLinePunct w:val="0"/>
        <w:autoSpaceDE/>
        <w:autoSpaceDN/>
        <w:bidi w:val="0"/>
        <w:adjustRightInd/>
        <w:snapToGrid/>
        <w:spacing w:before="120" w:after="240"/>
        <w:ind w:firstLine="480"/>
        <w:textAlignment w:val="auto"/>
        <w:rPr>
          <w:rFonts w:hint="eastAsia" w:ascii="宋体" w:hAnsi="宋体"/>
          <w:lang w:val="en-US" w:eastAsia="zh-CN"/>
        </w:rPr>
      </w:pPr>
      <w:r>
        <w:rPr>
          <w:rFonts w:hint="eastAsia" w:ascii="宋体" w:hAnsi="宋体"/>
        </w:rPr>
        <w:t>汕头职业技术学院（</w:t>
      </w:r>
      <w:r>
        <w:rPr>
          <w:rFonts w:hint="eastAsia" w:ascii="宋体" w:hAnsi="宋体"/>
          <w:lang w:eastAsia="zh-CN"/>
        </w:rPr>
        <w:t>校本部</w:t>
      </w:r>
      <w:r>
        <w:rPr>
          <w:rFonts w:hint="eastAsia" w:ascii="宋体" w:hAnsi="宋体"/>
        </w:rPr>
        <w:t>）视频监控系统升级改造项目</w:t>
      </w:r>
      <w:r>
        <w:rPr>
          <w:rFonts w:hint="eastAsia" w:ascii="宋体" w:hAnsi="宋体"/>
          <w:lang w:val="en-US" w:eastAsia="zh-CN"/>
        </w:rPr>
        <w:t>与2022年建设。该项目新建在校本部</w:t>
      </w:r>
      <w:r>
        <w:rPr>
          <w:rFonts w:hint="eastAsia" w:ascii="宋体" w:hAnsi="宋体"/>
        </w:rPr>
        <w:t>室外监控盲区</w:t>
      </w:r>
      <w:r>
        <w:rPr>
          <w:rFonts w:hint="eastAsia" w:ascii="宋体" w:hAnsi="宋体"/>
          <w:lang w:val="en-US" w:eastAsia="zh-CN"/>
        </w:rPr>
        <w:t>新增了61个监控点位</w:t>
      </w:r>
      <w:r>
        <w:rPr>
          <w:rFonts w:hint="eastAsia" w:ascii="宋体" w:hAnsi="宋体"/>
        </w:rPr>
        <w:t>（包含16个天台出口监控补点），</w:t>
      </w:r>
      <w:r>
        <w:rPr>
          <w:rFonts w:hint="eastAsia" w:ascii="宋体" w:hAnsi="宋体"/>
          <w:lang w:val="en-US" w:eastAsia="zh-CN"/>
        </w:rPr>
        <w:t>对</w:t>
      </w:r>
      <w:r>
        <w:rPr>
          <w:rFonts w:hint="eastAsia" w:ascii="宋体" w:hAnsi="宋体"/>
        </w:rPr>
        <w:t>57</w:t>
      </w:r>
      <w:r>
        <w:rPr>
          <w:rFonts w:hint="eastAsia" w:ascii="宋体" w:hAnsi="宋体"/>
          <w:lang w:val="en-US" w:eastAsia="zh-CN"/>
        </w:rPr>
        <w:t>台</w:t>
      </w:r>
      <w:r>
        <w:rPr>
          <w:rFonts w:hint="eastAsia" w:ascii="宋体" w:hAnsi="宋体"/>
        </w:rPr>
        <w:t>原有故障监控</w:t>
      </w:r>
      <w:r>
        <w:rPr>
          <w:rFonts w:hint="eastAsia" w:ascii="宋体" w:hAnsi="宋体"/>
          <w:lang w:val="en-US" w:eastAsia="zh-CN"/>
        </w:rPr>
        <w:t>进行维修</w:t>
      </w:r>
      <w:r>
        <w:rPr>
          <w:rFonts w:hint="eastAsia" w:ascii="宋体" w:hAnsi="宋体"/>
          <w:lang w:eastAsia="zh-CN"/>
        </w:rPr>
        <w:t>，</w:t>
      </w:r>
      <w:r>
        <w:rPr>
          <w:rFonts w:hint="eastAsia" w:ascii="宋体" w:hAnsi="宋体"/>
          <w:lang w:val="en-US" w:eastAsia="zh-CN"/>
        </w:rPr>
        <w:t>并</w:t>
      </w:r>
      <w:r>
        <w:rPr>
          <w:rFonts w:hint="eastAsia" w:ascii="宋体" w:hAnsi="宋体"/>
        </w:rPr>
        <w:t>原有监控平台的升级改造</w:t>
      </w:r>
      <w:r>
        <w:rPr>
          <w:rFonts w:hint="eastAsia" w:ascii="宋体" w:hAnsi="宋体"/>
          <w:lang w:val="en-US" w:eastAsia="zh-CN"/>
        </w:rPr>
        <w:t>和配套相关后台存储和解码设备。</w:t>
      </w:r>
    </w:p>
    <w:tbl>
      <w:tblPr>
        <w:tblStyle w:val="29"/>
        <w:tblW w:w="83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9"/>
        <w:gridCol w:w="2052"/>
        <w:gridCol w:w="3430"/>
        <w:gridCol w:w="735"/>
        <w:gridCol w:w="630"/>
        <w:gridCol w:w="7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2052"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w:t>
            </w:r>
          </w:p>
        </w:tc>
        <w:tc>
          <w:tcPr>
            <w:tcW w:w="343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参数</w:t>
            </w:r>
          </w:p>
        </w:tc>
        <w:tc>
          <w:tcPr>
            <w:tcW w:w="735"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品牌</w:t>
            </w:r>
          </w:p>
        </w:tc>
        <w:tc>
          <w:tcPr>
            <w:tcW w:w="63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765"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7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一、前端监控升级改造</w:t>
            </w:r>
          </w:p>
        </w:tc>
        <w:tc>
          <w:tcPr>
            <w:tcW w:w="3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红外防水枪型网络摄像机</w:t>
            </w:r>
          </w:p>
        </w:tc>
        <w:tc>
          <w:tcPr>
            <w:tcW w:w="3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400万像素，支持H.265编码，红外监控距离50米；支宽动态，3D降噪，强光抑制，背光补偿，支持DC12V/POE供电方式。</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大华</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1"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400万双光人脸警戒定焦枪型网络摄像机</w:t>
            </w:r>
          </w:p>
        </w:tc>
        <w:tc>
          <w:tcPr>
            <w:tcW w:w="3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400万像素，支持H.265编码，红外监控距离80米；支持人脸检测和支持智能侦测；支持DC12V/POE供电方式。</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大华</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红外防水球型网络摄像机</w:t>
            </w:r>
          </w:p>
        </w:tc>
        <w:tc>
          <w:tcPr>
            <w:tcW w:w="3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400万像素，支持32倍光学变倍，16倍数字变倍采用，150米红外灯补光</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大华</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24口三层核心交换机</w:t>
            </w:r>
          </w:p>
        </w:tc>
        <w:tc>
          <w:tcPr>
            <w:tcW w:w="3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24个千兆SFP,8个</w:t>
            </w:r>
            <w:r>
              <w:rPr>
                <w:rFonts w:hint="eastAsia" w:ascii="宋体" w:hAnsi="宋体" w:cs="宋体"/>
                <w:i w:val="0"/>
                <w:iCs w:val="0"/>
                <w:color w:val="000000"/>
                <w:kern w:val="0"/>
                <w:sz w:val="20"/>
                <w:szCs w:val="20"/>
                <w:u w:val="none"/>
                <w:lang w:val="en-US" w:eastAsia="zh-CN" w:bidi="ar"/>
              </w:rPr>
              <w:t>千兆</w:t>
            </w:r>
            <w:r>
              <w:rPr>
                <w:rFonts w:hint="eastAsia" w:ascii="宋体" w:hAnsi="宋体" w:eastAsia="宋体" w:cs="宋体"/>
                <w:i w:val="0"/>
                <w:iCs w:val="0"/>
                <w:color w:val="000000"/>
                <w:kern w:val="0"/>
                <w:sz w:val="20"/>
                <w:szCs w:val="20"/>
                <w:u w:val="none"/>
                <w:lang w:val="en-US" w:eastAsia="zh-CN" w:bidi="ar"/>
              </w:rPr>
              <w:t>以太网端口,4个万兆SFP+</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华为数通智选</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24口三层接入交换机</w:t>
            </w:r>
          </w:p>
        </w:tc>
        <w:tc>
          <w:tcPr>
            <w:tcW w:w="3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三层以太网交换机机,24个10/100/1000BASE-T电口,支持4个1000BASE-X SFP端口</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华为数通智选</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24口PoE全千兆管理型交换机</w:t>
            </w:r>
          </w:p>
        </w:tc>
        <w:tc>
          <w:tcPr>
            <w:tcW w:w="3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提供24个10/100/1000Base-T自适应以太网POE供电端口，4个千兆SFP光口，</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H3C</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工业级8口POE交换机</w:t>
            </w:r>
          </w:p>
        </w:tc>
        <w:tc>
          <w:tcPr>
            <w:tcW w:w="3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上联口（1千兆光电口）+下联口（8百兆POE电）</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优特普</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7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二、管理平台升级改造</w:t>
            </w:r>
          </w:p>
        </w:tc>
        <w:tc>
          <w:tcPr>
            <w:tcW w:w="3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9"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监控平台（升级）</w:t>
            </w:r>
          </w:p>
        </w:tc>
        <w:tc>
          <w:tcPr>
            <w:tcW w:w="3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具备系统管理、视频上墙、电子地图、报警联动、设备运维等功能</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大华</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磁盘阵列</w:t>
            </w:r>
          </w:p>
        </w:tc>
        <w:tc>
          <w:tcPr>
            <w:tcW w:w="3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支持硬盘48个、1个管理口4个千兆口、1个USB2.0和eSATA复用接口；</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大华</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3</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监控硬盘</w:t>
            </w:r>
          </w:p>
        </w:tc>
        <w:tc>
          <w:tcPr>
            <w:tcW w:w="3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6T监控专用硬盘</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希捷</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4"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4</w:t>
            </w:r>
          </w:p>
        </w:tc>
        <w:tc>
          <w:tcPr>
            <w:tcW w:w="205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液晶电视</w:t>
            </w:r>
          </w:p>
        </w:tc>
        <w:tc>
          <w:tcPr>
            <w:tcW w:w="34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55英寸全高清电视，LED电视，支持4K高清显示，配套壁挂支架</w:t>
            </w:r>
          </w:p>
        </w:tc>
        <w:tc>
          <w:tcPr>
            <w:tcW w:w="73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飞利浦</w:t>
            </w:r>
          </w:p>
        </w:tc>
        <w:tc>
          <w:tcPr>
            <w:tcW w:w="6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6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5</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高清解码器</w:t>
            </w:r>
          </w:p>
        </w:tc>
        <w:tc>
          <w:tcPr>
            <w:tcW w:w="3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最大支持2路3200W@25fps / 7路1200W@25fps / 10路800W@25fps / 14路600W@25fps / 18路500W @25fps / 28路300W @25fps / 36路1080P @30fps /144路D1@30fps同时解码</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大华</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7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三、宿管监看系统</w:t>
            </w:r>
          </w:p>
        </w:tc>
        <w:tc>
          <w:tcPr>
            <w:tcW w:w="3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32寸监视器</w:t>
            </w:r>
          </w:p>
        </w:tc>
        <w:tc>
          <w:tcPr>
            <w:tcW w:w="3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32寸高清液晶监视器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大华</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单路高清解码器</w:t>
            </w:r>
          </w:p>
        </w:tc>
        <w:tc>
          <w:tcPr>
            <w:tcW w:w="3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支持16路1080P@30fps回放；支持1/4/9/16画面分割切换；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大华</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bl>
    <w:p>
      <w:pPr>
        <w:pStyle w:val="5"/>
        <w:bidi w:val="0"/>
        <w:ind w:left="480" w:leftChars="0" w:firstLine="0" w:firstLineChars="0"/>
        <w:rPr>
          <w:rFonts w:hint="eastAsia"/>
          <w:highlight w:val="none"/>
          <w:lang w:val="en-US" w:eastAsia="zh-CN"/>
        </w:rPr>
      </w:pPr>
      <w:r>
        <w:rPr>
          <w:rFonts w:hint="eastAsia"/>
          <w:highlight w:val="none"/>
          <w:lang w:val="en-US" w:eastAsia="zh-CN"/>
        </w:rPr>
        <w:t>新楼视频监控系统现状</w:t>
      </w:r>
    </w:p>
    <w:p>
      <w:pPr>
        <w:keepNext w:val="0"/>
        <w:keepLines w:val="0"/>
        <w:pageBreakBefore w:val="0"/>
        <w:widowControl w:val="0"/>
        <w:kinsoku/>
        <w:wordWrap/>
        <w:overflowPunct/>
        <w:topLinePunct w:val="0"/>
        <w:autoSpaceDE/>
        <w:autoSpaceDN/>
        <w:bidi w:val="0"/>
        <w:adjustRightInd/>
        <w:snapToGrid/>
        <w:spacing w:after="157" w:afterLines="50"/>
        <w:textAlignment w:val="auto"/>
        <w:rPr>
          <w:rFonts w:hint="eastAsia"/>
          <w:highlight w:val="none"/>
          <w:lang w:val="en-US" w:eastAsia="zh-CN"/>
        </w:rPr>
      </w:pPr>
      <w:r>
        <w:rPr>
          <w:rFonts w:hint="eastAsia"/>
          <w:lang w:val="en-US" w:eastAsia="zh-CN"/>
        </w:rPr>
        <w:t>新楼视频监控系统于2021年建成，主要覆盖</w:t>
      </w:r>
      <w:r>
        <w:rPr>
          <w:rFonts w:hint="eastAsia"/>
          <w:highlight w:val="none"/>
          <w:lang w:val="en-US" w:eastAsia="zh-CN"/>
        </w:rPr>
        <w:t>第三食堂、七号学生宿舍、八号学生宿舍和第三实训楼内部区域，主要后台设备如下：</w:t>
      </w:r>
    </w:p>
    <w:tbl>
      <w:tblPr>
        <w:tblStyle w:val="29"/>
        <w:tblW w:w="826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2020"/>
        <w:gridCol w:w="3325"/>
        <w:gridCol w:w="895"/>
        <w:gridCol w:w="640"/>
        <w:gridCol w:w="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trPr>
        <w:tc>
          <w:tcPr>
            <w:tcW w:w="640" w:type="dxa"/>
            <w:shd w:val="clear" w:color="000000" w:fill="F1F1F1" w:themeFill="background1" w:themeFillShade="F2"/>
            <w:vAlign w:val="center"/>
          </w:tcPr>
          <w:p>
            <w:pPr>
              <w:widowControl/>
              <w:spacing w:line="240" w:lineRule="auto"/>
              <w:ind w:firstLine="0" w:firstLineChars="0"/>
              <w:jc w:val="center"/>
              <w:rPr>
                <w:rFonts w:ascii="宋体" w:hAnsi="宋体" w:cs="宋体"/>
                <w:b/>
                <w:bCs/>
                <w:color w:val="000000"/>
                <w:kern w:val="0"/>
                <w:sz w:val="20"/>
                <w:szCs w:val="20"/>
              </w:rPr>
            </w:pPr>
            <w:r>
              <w:rPr>
                <w:rFonts w:hint="eastAsia" w:ascii="宋体" w:hAnsi="宋体" w:cs="宋体"/>
                <w:b/>
                <w:bCs/>
                <w:color w:val="000000"/>
                <w:kern w:val="0"/>
                <w:sz w:val="20"/>
                <w:szCs w:val="20"/>
              </w:rPr>
              <w:t>序号</w:t>
            </w:r>
          </w:p>
        </w:tc>
        <w:tc>
          <w:tcPr>
            <w:tcW w:w="2020" w:type="dxa"/>
            <w:shd w:val="clear" w:color="000000" w:fill="F1F1F1" w:themeFill="background1" w:themeFillShade="F2"/>
            <w:vAlign w:val="center"/>
          </w:tcPr>
          <w:p>
            <w:pPr>
              <w:widowControl/>
              <w:spacing w:line="240" w:lineRule="auto"/>
              <w:ind w:firstLine="0" w:firstLineChars="0"/>
              <w:jc w:val="center"/>
              <w:rPr>
                <w:rFonts w:ascii="宋体" w:hAnsi="宋体" w:cs="宋体"/>
                <w:b/>
                <w:bCs/>
                <w:color w:val="000000"/>
                <w:kern w:val="0"/>
                <w:sz w:val="20"/>
                <w:szCs w:val="20"/>
              </w:rPr>
            </w:pPr>
            <w:r>
              <w:rPr>
                <w:rFonts w:hint="eastAsia" w:ascii="宋体" w:hAnsi="宋体" w:cs="宋体"/>
                <w:b/>
                <w:bCs/>
                <w:color w:val="000000"/>
                <w:kern w:val="0"/>
                <w:sz w:val="20"/>
                <w:szCs w:val="20"/>
              </w:rPr>
              <w:t>设备</w:t>
            </w:r>
          </w:p>
        </w:tc>
        <w:tc>
          <w:tcPr>
            <w:tcW w:w="3325" w:type="dxa"/>
            <w:shd w:val="clear" w:color="000000" w:fill="F1F1F1" w:themeFill="background1" w:themeFillShade="F2"/>
            <w:vAlign w:val="center"/>
          </w:tcPr>
          <w:p>
            <w:pPr>
              <w:widowControl/>
              <w:spacing w:line="240" w:lineRule="auto"/>
              <w:ind w:firstLine="0" w:firstLineChars="0"/>
              <w:jc w:val="center"/>
              <w:rPr>
                <w:rFonts w:ascii="宋体" w:hAnsi="宋体" w:cs="宋体"/>
                <w:b/>
                <w:bCs/>
                <w:color w:val="000000"/>
                <w:kern w:val="0"/>
                <w:sz w:val="20"/>
                <w:szCs w:val="20"/>
              </w:rPr>
            </w:pPr>
            <w:r>
              <w:rPr>
                <w:rFonts w:hint="eastAsia" w:ascii="宋体" w:hAnsi="宋体" w:cs="宋体"/>
                <w:b/>
                <w:bCs/>
                <w:color w:val="000000"/>
                <w:kern w:val="0"/>
                <w:sz w:val="20"/>
                <w:szCs w:val="20"/>
              </w:rPr>
              <w:t>参数</w:t>
            </w:r>
          </w:p>
        </w:tc>
        <w:tc>
          <w:tcPr>
            <w:tcW w:w="895" w:type="dxa"/>
            <w:shd w:val="clear" w:color="000000" w:fill="F1F1F1" w:themeFill="background1" w:themeFillShade="F2"/>
            <w:vAlign w:val="center"/>
          </w:tcPr>
          <w:p>
            <w:pPr>
              <w:widowControl/>
              <w:spacing w:line="240" w:lineRule="auto"/>
              <w:ind w:firstLine="0" w:firstLineChars="0"/>
              <w:jc w:val="center"/>
              <w:rPr>
                <w:rFonts w:ascii="宋体" w:hAnsi="宋体" w:cs="宋体"/>
                <w:b/>
                <w:bCs/>
                <w:color w:val="000000"/>
                <w:kern w:val="0"/>
                <w:sz w:val="20"/>
                <w:szCs w:val="20"/>
              </w:rPr>
            </w:pPr>
            <w:r>
              <w:rPr>
                <w:rFonts w:hint="eastAsia" w:ascii="宋体" w:hAnsi="宋体" w:cs="宋体"/>
                <w:b/>
                <w:bCs/>
                <w:color w:val="000000"/>
                <w:kern w:val="0"/>
                <w:sz w:val="20"/>
                <w:szCs w:val="20"/>
              </w:rPr>
              <w:t>品牌</w:t>
            </w:r>
          </w:p>
        </w:tc>
        <w:tc>
          <w:tcPr>
            <w:tcW w:w="640" w:type="dxa"/>
            <w:shd w:val="clear" w:color="000000" w:fill="F1F1F1" w:themeFill="background1" w:themeFillShade="F2"/>
            <w:vAlign w:val="center"/>
          </w:tcPr>
          <w:p>
            <w:pPr>
              <w:widowControl/>
              <w:spacing w:line="240" w:lineRule="auto"/>
              <w:ind w:firstLine="0" w:firstLineChars="0"/>
              <w:jc w:val="center"/>
              <w:rPr>
                <w:rFonts w:ascii="宋体" w:hAnsi="宋体" w:cs="宋体"/>
                <w:b/>
                <w:bCs/>
                <w:color w:val="000000"/>
                <w:kern w:val="0"/>
                <w:sz w:val="20"/>
                <w:szCs w:val="20"/>
              </w:rPr>
            </w:pPr>
            <w:r>
              <w:rPr>
                <w:rFonts w:hint="eastAsia" w:ascii="宋体" w:hAnsi="宋体" w:cs="宋体"/>
                <w:b/>
                <w:bCs/>
                <w:color w:val="000000"/>
                <w:kern w:val="0"/>
                <w:sz w:val="20"/>
                <w:szCs w:val="20"/>
              </w:rPr>
              <w:t>单位</w:t>
            </w:r>
          </w:p>
        </w:tc>
        <w:tc>
          <w:tcPr>
            <w:tcW w:w="740" w:type="dxa"/>
            <w:shd w:val="clear" w:color="000000" w:fill="F1F1F1" w:themeFill="background1" w:themeFillShade="F2"/>
            <w:vAlign w:val="center"/>
          </w:tcPr>
          <w:p>
            <w:pPr>
              <w:widowControl/>
              <w:spacing w:line="240" w:lineRule="auto"/>
              <w:ind w:firstLine="0" w:firstLineChars="0"/>
              <w:jc w:val="center"/>
              <w:rPr>
                <w:rFonts w:ascii="宋体" w:hAnsi="宋体" w:cs="宋体"/>
                <w:b/>
                <w:bCs/>
                <w:color w:val="000000"/>
                <w:kern w:val="0"/>
                <w:sz w:val="20"/>
                <w:szCs w:val="20"/>
              </w:rPr>
            </w:pPr>
            <w:r>
              <w:rPr>
                <w:rFonts w:hint="eastAsia" w:ascii="宋体" w:hAnsi="宋体" w:cs="宋体"/>
                <w:b/>
                <w:bCs/>
                <w:color w:val="000000"/>
                <w:kern w:val="0"/>
                <w:sz w:val="20"/>
                <w:szCs w:val="20"/>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2020" w:type="dxa"/>
            <w:shd w:val="clear" w:color="auto" w:fill="auto"/>
            <w:vAlign w:val="center"/>
          </w:tcPr>
          <w:p>
            <w:pPr>
              <w:widowControl/>
              <w:spacing w:line="240" w:lineRule="auto"/>
              <w:ind w:firstLine="0" w:firstLineChars="0"/>
              <w:jc w:val="lef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流媒体服务器</w:t>
            </w:r>
          </w:p>
        </w:tc>
        <w:tc>
          <w:tcPr>
            <w:tcW w:w="3325" w:type="dxa"/>
            <w:shd w:val="clear" w:color="auto" w:fill="auto"/>
            <w:vAlign w:val="center"/>
          </w:tcPr>
          <w:p>
            <w:pPr>
              <w:widowControl/>
              <w:spacing w:line="240" w:lineRule="auto"/>
              <w:ind w:firstLine="0" w:firstLineChars="0"/>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提供视频流媒体服务</w:t>
            </w:r>
          </w:p>
        </w:tc>
        <w:tc>
          <w:tcPr>
            <w:tcW w:w="895" w:type="dxa"/>
            <w:shd w:val="clear" w:color="auto" w:fill="auto"/>
            <w:vAlign w:val="center"/>
          </w:tcPr>
          <w:p>
            <w:pPr>
              <w:widowControl/>
              <w:spacing w:line="240" w:lineRule="auto"/>
              <w:ind w:firstLine="0" w:firstLineChars="0"/>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德尓克</w:t>
            </w:r>
          </w:p>
        </w:tc>
        <w:tc>
          <w:tcPr>
            <w:tcW w:w="640" w:type="dxa"/>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台</w:t>
            </w:r>
          </w:p>
        </w:tc>
        <w:tc>
          <w:tcPr>
            <w:tcW w:w="740" w:type="dxa"/>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ascii="宋体" w:hAnsi="宋体" w:cs="宋体"/>
                <w:color w:val="000000"/>
                <w:kern w:val="0"/>
                <w:sz w:val="20"/>
                <w:szCs w:val="20"/>
              </w:rPr>
              <w:t>2</w:t>
            </w:r>
          </w:p>
        </w:tc>
        <w:tc>
          <w:tcPr>
            <w:tcW w:w="2020" w:type="dxa"/>
            <w:shd w:val="clear" w:color="auto" w:fill="auto"/>
            <w:vAlign w:val="center"/>
          </w:tcPr>
          <w:p>
            <w:pPr>
              <w:widowControl/>
              <w:spacing w:line="240" w:lineRule="auto"/>
              <w:ind w:firstLine="0" w:firstLineChars="0"/>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监视屏服务器</w:t>
            </w:r>
          </w:p>
        </w:tc>
        <w:tc>
          <w:tcPr>
            <w:tcW w:w="3325" w:type="dxa"/>
            <w:shd w:val="clear" w:color="auto" w:fill="auto"/>
            <w:vAlign w:val="center"/>
          </w:tcPr>
          <w:p>
            <w:pPr>
              <w:widowControl/>
              <w:spacing w:line="240" w:lineRule="auto"/>
              <w:ind w:firstLine="0" w:firstLineChars="0"/>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提供监视屏管理服务</w:t>
            </w:r>
          </w:p>
        </w:tc>
        <w:tc>
          <w:tcPr>
            <w:tcW w:w="895"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德尓克</w:t>
            </w:r>
          </w:p>
        </w:tc>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台</w:t>
            </w:r>
          </w:p>
        </w:tc>
        <w:tc>
          <w:tcPr>
            <w:tcW w:w="740" w:type="dxa"/>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ascii="宋体" w:hAnsi="宋体" w:cs="宋体"/>
                <w:color w:val="000000"/>
                <w:kern w:val="0"/>
                <w:sz w:val="20"/>
                <w:szCs w:val="20"/>
              </w:rPr>
              <w:t>3</w:t>
            </w:r>
          </w:p>
        </w:tc>
        <w:tc>
          <w:tcPr>
            <w:tcW w:w="2020" w:type="dxa"/>
            <w:shd w:val="clear" w:color="auto" w:fill="auto"/>
            <w:vAlign w:val="center"/>
          </w:tcPr>
          <w:p>
            <w:pPr>
              <w:widowControl/>
              <w:spacing w:line="240" w:lineRule="auto"/>
              <w:ind w:firstLine="0" w:firstLineChars="0"/>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汇聚交换机</w:t>
            </w:r>
          </w:p>
        </w:tc>
        <w:tc>
          <w:tcPr>
            <w:tcW w:w="3325" w:type="dxa"/>
            <w:shd w:val="clear" w:color="auto" w:fill="auto"/>
            <w:vAlign w:val="center"/>
          </w:tcPr>
          <w:p>
            <w:pPr>
              <w:widowControl/>
              <w:spacing w:line="240" w:lineRule="auto"/>
              <w:ind w:firstLine="0" w:firstLineChars="0"/>
              <w:jc w:val="lef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xml:space="preserve">RG-NBS5200-24SFP  </w:t>
            </w:r>
          </w:p>
          <w:p>
            <w:pPr>
              <w:widowControl/>
              <w:spacing w:line="240" w:lineRule="auto"/>
              <w:ind w:firstLine="0" w:firstLineChars="0"/>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24个SFP接口交换机（SFP为千兆/百兆口），8个复用的10/100/1000M自适应电口，4个SFP+万兆光口</w:t>
            </w:r>
          </w:p>
        </w:tc>
        <w:tc>
          <w:tcPr>
            <w:tcW w:w="895"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睿易</w:t>
            </w:r>
          </w:p>
        </w:tc>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台</w:t>
            </w:r>
          </w:p>
        </w:tc>
        <w:tc>
          <w:tcPr>
            <w:tcW w:w="740" w:type="dxa"/>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ascii="宋体" w:hAnsi="宋体" w:cs="宋体"/>
                <w:color w:val="000000"/>
                <w:kern w:val="0"/>
                <w:sz w:val="20"/>
                <w:szCs w:val="20"/>
              </w:rPr>
              <w:t>4</w:t>
            </w:r>
          </w:p>
        </w:tc>
        <w:tc>
          <w:tcPr>
            <w:tcW w:w="2020" w:type="dxa"/>
            <w:shd w:val="clear" w:color="auto" w:fill="auto"/>
            <w:vAlign w:val="center"/>
          </w:tcPr>
          <w:p>
            <w:pPr>
              <w:widowControl/>
              <w:spacing w:line="240" w:lineRule="auto"/>
              <w:ind w:firstLine="0" w:firstLineChars="0"/>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接入交换机</w:t>
            </w:r>
          </w:p>
        </w:tc>
        <w:tc>
          <w:tcPr>
            <w:tcW w:w="3325" w:type="dxa"/>
            <w:shd w:val="clear" w:color="auto" w:fill="auto"/>
            <w:vAlign w:val="center"/>
          </w:tcPr>
          <w:p>
            <w:pPr>
              <w:widowControl/>
              <w:spacing w:line="240" w:lineRule="auto"/>
              <w:ind w:firstLine="0" w:firstLineChars="0"/>
              <w:jc w:val="lef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RG-NBS2028G-S</w:t>
            </w:r>
          </w:p>
          <w:p>
            <w:pPr>
              <w:widowControl/>
              <w:spacing w:line="240" w:lineRule="auto"/>
              <w:ind w:firstLine="0" w:firstLineChars="0"/>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24口10/100M/1000M自适应端口，2个1000M电口，2个SFP光口</w:t>
            </w:r>
          </w:p>
        </w:tc>
        <w:tc>
          <w:tcPr>
            <w:tcW w:w="895" w:type="dxa"/>
            <w:shd w:val="clear" w:color="auto" w:fill="auto"/>
            <w:vAlign w:val="center"/>
          </w:tcPr>
          <w:p>
            <w:pPr>
              <w:widowControl/>
              <w:spacing w:line="240" w:lineRule="auto"/>
              <w:ind w:firstLine="0" w:firstLineChars="0"/>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睿易</w:t>
            </w:r>
          </w:p>
        </w:tc>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台</w:t>
            </w:r>
          </w:p>
        </w:tc>
        <w:tc>
          <w:tcPr>
            <w:tcW w:w="740" w:type="dxa"/>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ascii="宋体" w:hAnsi="宋体" w:cs="宋体"/>
                <w:color w:val="000000"/>
                <w:kern w:val="0"/>
                <w:sz w:val="20"/>
                <w:szCs w:val="20"/>
              </w:rPr>
              <w:t>5</w:t>
            </w:r>
          </w:p>
        </w:tc>
        <w:tc>
          <w:tcPr>
            <w:tcW w:w="2020" w:type="dxa"/>
            <w:shd w:val="clear" w:color="auto" w:fill="auto"/>
            <w:vAlign w:val="center"/>
          </w:tcPr>
          <w:p>
            <w:pPr>
              <w:widowControl/>
              <w:spacing w:line="240" w:lineRule="auto"/>
              <w:ind w:firstLine="0" w:firstLineChars="0"/>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监控硬盘录像机</w:t>
            </w:r>
          </w:p>
        </w:tc>
        <w:tc>
          <w:tcPr>
            <w:tcW w:w="3325" w:type="dxa"/>
            <w:shd w:val="clear" w:color="auto" w:fill="auto"/>
            <w:vAlign w:val="center"/>
          </w:tcPr>
          <w:p>
            <w:pPr>
              <w:widowControl/>
              <w:spacing w:line="240" w:lineRule="auto"/>
              <w:ind w:firstLine="0" w:firstLineChars="0"/>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16路网络硬盘录像机</w:t>
            </w:r>
          </w:p>
        </w:tc>
        <w:tc>
          <w:tcPr>
            <w:tcW w:w="895"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德尓克</w:t>
            </w:r>
          </w:p>
        </w:tc>
        <w:tc>
          <w:tcPr>
            <w:tcW w:w="640" w:type="dxa"/>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台</w:t>
            </w:r>
          </w:p>
        </w:tc>
        <w:tc>
          <w:tcPr>
            <w:tcW w:w="740" w:type="dxa"/>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ascii="宋体" w:hAnsi="宋体" w:cs="宋体"/>
                <w:color w:val="000000"/>
                <w:kern w:val="0"/>
                <w:sz w:val="20"/>
                <w:szCs w:val="20"/>
              </w:rPr>
              <w:t>6</w:t>
            </w:r>
          </w:p>
        </w:tc>
        <w:tc>
          <w:tcPr>
            <w:tcW w:w="2020" w:type="dxa"/>
            <w:shd w:val="clear" w:color="auto" w:fill="auto"/>
            <w:vAlign w:val="center"/>
          </w:tcPr>
          <w:p>
            <w:pPr>
              <w:widowControl/>
              <w:spacing w:line="240" w:lineRule="auto"/>
              <w:ind w:firstLine="0" w:firstLineChars="0"/>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高清数字解码矩阵</w:t>
            </w:r>
          </w:p>
        </w:tc>
        <w:tc>
          <w:tcPr>
            <w:tcW w:w="3325" w:type="dxa"/>
            <w:shd w:val="clear" w:color="auto" w:fill="auto"/>
            <w:vAlign w:val="center"/>
          </w:tcPr>
          <w:p>
            <w:pPr>
              <w:widowControl/>
              <w:spacing w:line="240" w:lineRule="auto"/>
              <w:ind w:firstLine="0" w:firstLineChars="0"/>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DZK-RN3616-H  16路HDMI输出</w:t>
            </w:r>
          </w:p>
        </w:tc>
        <w:tc>
          <w:tcPr>
            <w:tcW w:w="895"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德尓克</w:t>
            </w:r>
          </w:p>
        </w:tc>
        <w:tc>
          <w:tcPr>
            <w:tcW w:w="640" w:type="dxa"/>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台</w:t>
            </w:r>
          </w:p>
        </w:tc>
        <w:tc>
          <w:tcPr>
            <w:tcW w:w="740" w:type="dxa"/>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0" w:type="dxa"/>
            <w:shd w:val="clear" w:color="auto" w:fill="auto"/>
            <w:vAlign w:val="center"/>
          </w:tcPr>
          <w:p>
            <w:pPr>
              <w:widowControl/>
              <w:spacing w:line="240" w:lineRule="auto"/>
              <w:ind w:firstLine="0" w:firstLineChars="0"/>
              <w:jc w:val="center"/>
              <w:rPr>
                <w:rFonts w:ascii="宋体" w:hAnsi="宋体" w:cs="宋体"/>
                <w:color w:val="000000"/>
                <w:kern w:val="0"/>
                <w:sz w:val="20"/>
                <w:szCs w:val="20"/>
              </w:rPr>
            </w:pPr>
            <w:r>
              <w:rPr>
                <w:rFonts w:ascii="宋体" w:hAnsi="宋体" w:cs="宋体"/>
                <w:color w:val="000000"/>
                <w:kern w:val="0"/>
                <w:sz w:val="20"/>
                <w:szCs w:val="20"/>
              </w:rPr>
              <w:t>7</w:t>
            </w:r>
          </w:p>
        </w:tc>
        <w:tc>
          <w:tcPr>
            <w:tcW w:w="2020" w:type="dxa"/>
            <w:shd w:val="clear" w:color="auto" w:fill="auto"/>
            <w:vAlign w:val="center"/>
          </w:tcPr>
          <w:p>
            <w:pPr>
              <w:widowControl/>
              <w:spacing w:line="240" w:lineRule="auto"/>
              <w:ind w:firstLine="0" w:firstLineChars="0"/>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显示屏</w:t>
            </w:r>
          </w:p>
        </w:tc>
        <w:tc>
          <w:tcPr>
            <w:tcW w:w="3325" w:type="dxa"/>
            <w:shd w:val="clear" w:color="auto" w:fill="auto"/>
            <w:vAlign w:val="center"/>
          </w:tcPr>
          <w:p>
            <w:pPr>
              <w:widowControl/>
              <w:spacing w:line="240" w:lineRule="auto"/>
              <w:ind w:firstLine="0" w:firstLineChars="0"/>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46寸显示器</w:t>
            </w:r>
          </w:p>
        </w:tc>
        <w:tc>
          <w:tcPr>
            <w:tcW w:w="895" w:type="dxa"/>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国产</w:t>
            </w:r>
          </w:p>
        </w:tc>
        <w:tc>
          <w:tcPr>
            <w:tcW w:w="640" w:type="dxa"/>
            <w:shd w:val="clear" w:color="auto" w:fill="auto"/>
            <w:vAlign w:val="center"/>
          </w:tcPr>
          <w:p>
            <w:pPr>
              <w:widowControl/>
              <w:spacing w:line="240" w:lineRule="auto"/>
              <w:ind w:firstLine="0" w:firstLineChars="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台</w:t>
            </w:r>
          </w:p>
        </w:tc>
        <w:tc>
          <w:tcPr>
            <w:tcW w:w="740" w:type="dxa"/>
            <w:shd w:val="clear" w:color="auto" w:fill="auto"/>
            <w:vAlign w:val="center"/>
          </w:tcPr>
          <w:p>
            <w:pPr>
              <w:widowControl/>
              <w:spacing w:line="240" w:lineRule="auto"/>
              <w:ind w:firstLine="0" w:firstLineChars="0"/>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w:t>
            </w:r>
          </w:p>
        </w:tc>
      </w:tr>
    </w:tbl>
    <w:p>
      <w:pPr>
        <w:pStyle w:val="4"/>
        <w:bidi w:val="0"/>
        <w:ind w:left="482" w:leftChars="0" w:hanging="425" w:firstLineChars="0"/>
        <w:rPr>
          <w:rFonts w:hint="default"/>
          <w:highlight w:val="none"/>
          <w:lang w:val="en-US" w:eastAsia="zh-CN"/>
        </w:rPr>
      </w:pPr>
      <w:bookmarkStart w:id="23" w:name="_Toc27870"/>
      <w:r>
        <w:rPr>
          <w:rFonts w:hint="eastAsia"/>
          <w:highlight w:val="none"/>
          <w:lang w:val="en-US" w:eastAsia="zh-CN"/>
        </w:rPr>
        <w:t>七号学生宿舍楼一层杂物间现状</w:t>
      </w:r>
      <w:bookmarkEnd w:id="23"/>
    </w:p>
    <w:p>
      <w:pPr>
        <w:keepNext w:val="0"/>
        <w:keepLines w:val="0"/>
        <w:pageBreakBefore w:val="0"/>
        <w:widowControl w:val="0"/>
        <w:kinsoku/>
        <w:wordWrap/>
        <w:overflowPunct/>
        <w:topLinePunct w:val="0"/>
        <w:autoSpaceDE/>
        <w:autoSpaceDN/>
        <w:bidi w:val="0"/>
        <w:adjustRightInd/>
        <w:snapToGrid/>
        <w:spacing w:after="0" w:afterLines="0"/>
        <w:textAlignment w:val="auto"/>
        <w:rPr>
          <w:rFonts w:hint="default"/>
          <w:sz w:val="21"/>
          <w:szCs w:val="21"/>
          <w:highlight w:val="none"/>
          <w:lang w:val="en-US" w:eastAsia="zh-CN"/>
        </w:rPr>
      </w:pPr>
      <w:r>
        <w:rPr>
          <w:rFonts w:hint="eastAsia"/>
          <w:sz w:val="21"/>
          <w:szCs w:val="21"/>
          <w:highlight w:val="none"/>
          <w:lang w:val="en-US" w:eastAsia="zh-CN"/>
        </w:rPr>
        <w:t>七号学生宿舍楼一层杂物间目前临时用于宿管和保洁人员存放物品的场所。杂物间长11.3米，宽8.1米，总面积约78平方。本次计划通过砖墙隔断，将房间分隔为学院安全管理中心的机房区和值班区。另外，该杂物间内有卫生间一处，面积约4平方，为了使机房区的利用面积最大化，本次计划将卫生间拆除填埋，铺设水泥层和防水层，并且将卫生间内的楼层汇集排水管进行包封并刷防水层。</w:t>
      </w:r>
    </w:p>
    <w:p>
      <w:pPr>
        <w:pStyle w:val="34"/>
        <w:keepNext w:val="0"/>
        <w:keepLines w:val="0"/>
        <w:pageBreakBefore w:val="0"/>
        <w:widowControl w:val="0"/>
        <w:kinsoku/>
        <w:wordWrap/>
        <w:overflowPunct/>
        <w:topLinePunct w:val="0"/>
        <w:autoSpaceDE/>
        <w:autoSpaceDN/>
        <w:bidi w:val="0"/>
        <w:adjustRightInd/>
        <w:snapToGrid/>
        <w:spacing w:after="36"/>
        <w:ind w:firstLine="0" w:firstLineChars="0"/>
        <w:jc w:val="center"/>
        <w:textAlignment w:val="auto"/>
        <w:rPr>
          <w:rFonts w:hint="eastAsia" w:eastAsia="宋体"/>
          <w:b/>
          <w:bCs/>
          <w:highlight w:val="none"/>
          <w:lang w:eastAsia="zh-CN"/>
        </w:rPr>
      </w:pPr>
      <w:r>
        <w:rPr>
          <w:rFonts w:hint="eastAsia" w:eastAsia="宋体"/>
          <w:b/>
          <w:bCs/>
          <w:highlight w:val="none"/>
          <w:lang w:eastAsia="zh-CN"/>
        </w:rPr>
        <w:drawing>
          <wp:inline distT="0" distB="0" distL="114300" distR="114300">
            <wp:extent cx="5089525" cy="5460365"/>
            <wp:effectExtent l="0" t="0" r="15875" b="6985"/>
            <wp:docPr id="58" name="图片 58" descr="现状图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现状图_1"/>
                    <pic:cNvPicPr>
                      <a:picLocks noChangeAspect="1"/>
                    </pic:cNvPicPr>
                  </pic:nvPicPr>
                  <pic:blipFill>
                    <a:blip r:embed="rId20"/>
                    <a:srcRect l="22070" t="8519" r="23106" b="8298"/>
                    <a:stretch>
                      <a:fillRect/>
                    </a:stretch>
                  </pic:blipFill>
                  <pic:spPr>
                    <a:xfrm>
                      <a:off x="0" y="0"/>
                      <a:ext cx="5089525" cy="5460365"/>
                    </a:xfrm>
                    <a:prstGeom prst="rect">
                      <a:avLst/>
                    </a:prstGeom>
                  </pic:spPr>
                </pic:pic>
              </a:graphicData>
            </a:graphic>
          </wp:inline>
        </w:drawing>
      </w:r>
    </w:p>
    <w:p>
      <w:pPr>
        <w:ind w:left="0" w:leftChars="0" w:firstLine="0" w:firstLineChars="0"/>
        <w:jc w:val="center"/>
        <w:rPr>
          <w:rFonts w:hint="eastAsia" w:ascii="黑体" w:hAnsi="黑体" w:eastAsia="黑体" w:cs="黑体"/>
          <w:sz w:val="22"/>
          <w:szCs w:val="22"/>
          <w:highlight w:val="none"/>
          <w:u w:val="single"/>
          <w:lang w:val="en-US" w:eastAsia="zh-CN"/>
        </w:rPr>
      </w:pPr>
      <w:r>
        <w:rPr>
          <w:rFonts w:hint="eastAsia" w:ascii="黑体" w:hAnsi="黑体" w:eastAsia="黑体" w:cs="黑体"/>
          <w:sz w:val="22"/>
          <w:szCs w:val="22"/>
          <w:highlight w:val="none"/>
          <w:u w:val="single"/>
          <w:lang w:val="en-US" w:eastAsia="zh-CN"/>
        </w:rPr>
        <w:t>图：杂物间尺寸平面图</w:t>
      </w:r>
    </w:p>
    <w:p>
      <w:pPr>
        <w:pStyle w:val="34"/>
        <w:keepNext w:val="0"/>
        <w:keepLines w:val="0"/>
        <w:pageBreakBefore w:val="0"/>
        <w:widowControl w:val="0"/>
        <w:kinsoku/>
        <w:wordWrap/>
        <w:overflowPunct/>
        <w:topLinePunct w:val="0"/>
        <w:autoSpaceDE/>
        <w:autoSpaceDN/>
        <w:bidi w:val="0"/>
        <w:adjustRightInd/>
        <w:snapToGrid/>
        <w:spacing w:after="36"/>
        <w:ind w:firstLine="0" w:firstLineChars="0"/>
        <w:jc w:val="center"/>
        <w:textAlignment w:val="auto"/>
        <w:rPr>
          <w:rFonts w:hint="default"/>
          <w:highlight w:val="none"/>
          <w:lang w:val="en-US" w:eastAsia="zh-CN"/>
        </w:rPr>
      </w:pPr>
      <w:r>
        <w:rPr>
          <w:rFonts w:hint="default"/>
          <w:highlight w:val="none"/>
          <w:lang w:val="en-US" w:eastAsia="zh-CN"/>
        </w:rPr>
        <w:drawing>
          <wp:inline distT="0" distB="0" distL="114300" distR="114300">
            <wp:extent cx="2734310" cy="3649345"/>
            <wp:effectExtent l="0" t="0" r="8255" b="8890"/>
            <wp:docPr id="43" name="图片 43" descr="10b53c244435cead98d5592b3347fa4e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10b53c244435cead98d5592b3347fa4e_"/>
                    <pic:cNvPicPr>
                      <a:picLocks noChangeAspect="1"/>
                    </pic:cNvPicPr>
                  </pic:nvPicPr>
                  <pic:blipFill>
                    <a:blip r:embed="rId21"/>
                    <a:stretch>
                      <a:fillRect/>
                    </a:stretch>
                  </pic:blipFill>
                  <pic:spPr>
                    <a:xfrm rot="16200000">
                      <a:off x="0" y="0"/>
                      <a:ext cx="2734310" cy="3649345"/>
                    </a:xfrm>
                    <a:prstGeom prst="rect">
                      <a:avLst/>
                    </a:prstGeom>
                  </pic:spPr>
                </pic:pic>
              </a:graphicData>
            </a:graphic>
          </wp:inline>
        </w:drawing>
      </w:r>
    </w:p>
    <w:p>
      <w:pPr>
        <w:ind w:left="0" w:leftChars="0" w:firstLine="0" w:firstLineChars="0"/>
        <w:jc w:val="center"/>
      </w:pPr>
      <w:r>
        <w:drawing>
          <wp:inline distT="0" distB="0" distL="114300" distR="114300">
            <wp:extent cx="3677285" cy="2705100"/>
            <wp:effectExtent l="0" t="0" r="18415" b="0"/>
            <wp:docPr id="5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
                    <pic:cNvPicPr>
                      <a:picLocks noChangeAspect="1"/>
                    </pic:cNvPicPr>
                  </pic:nvPicPr>
                  <pic:blipFill>
                    <a:blip r:embed="rId22"/>
                    <a:stretch>
                      <a:fillRect/>
                    </a:stretch>
                  </pic:blipFill>
                  <pic:spPr>
                    <a:xfrm>
                      <a:off x="0" y="0"/>
                      <a:ext cx="3677285" cy="2705100"/>
                    </a:xfrm>
                    <a:prstGeom prst="rect">
                      <a:avLst/>
                    </a:prstGeom>
                    <a:noFill/>
                    <a:ln>
                      <a:noFill/>
                    </a:ln>
                  </pic:spPr>
                </pic:pic>
              </a:graphicData>
            </a:graphic>
          </wp:inline>
        </w:drawing>
      </w:r>
    </w:p>
    <w:p>
      <w:pPr>
        <w:ind w:left="0" w:leftChars="0" w:firstLine="0" w:firstLineChars="0"/>
        <w:jc w:val="center"/>
      </w:pPr>
      <w:r>
        <w:drawing>
          <wp:inline distT="0" distB="0" distL="114300" distR="114300">
            <wp:extent cx="3707765" cy="2798445"/>
            <wp:effectExtent l="0" t="0" r="6985" b="1905"/>
            <wp:docPr id="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
                    <pic:cNvPicPr>
                      <a:picLocks noChangeAspect="1"/>
                    </pic:cNvPicPr>
                  </pic:nvPicPr>
                  <pic:blipFill>
                    <a:blip r:embed="rId23"/>
                    <a:stretch>
                      <a:fillRect/>
                    </a:stretch>
                  </pic:blipFill>
                  <pic:spPr>
                    <a:xfrm>
                      <a:off x="0" y="0"/>
                      <a:ext cx="3707765" cy="2798445"/>
                    </a:xfrm>
                    <a:prstGeom prst="rect">
                      <a:avLst/>
                    </a:prstGeom>
                    <a:noFill/>
                    <a:ln>
                      <a:noFill/>
                    </a:ln>
                  </pic:spPr>
                </pic:pic>
              </a:graphicData>
            </a:graphic>
          </wp:inline>
        </w:drawing>
      </w:r>
    </w:p>
    <w:p>
      <w:pPr>
        <w:ind w:left="0" w:leftChars="0" w:firstLine="0" w:firstLineChars="0"/>
        <w:jc w:val="center"/>
        <w:rPr>
          <w:rFonts w:hint="default" w:ascii="黑体" w:hAnsi="黑体" w:eastAsia="黑体" w:cs="黑体"/>
          <w:sz w:val="22"/>
          <w:szCs w:val="22"/>
          <w:highlight w:val="none"/>
          <w:u w:val="single"/>
          <w:lang w:val="en-US" w:eastAsia="zh-CN"/>
        </w:rPr>
      </w:pPr>
      <w:r>
        <w:rPr>
          <w:rFonts w:hint="eastAsia" w:ascii="黑体" w:hAnsi="黑体" w:eastAsia="黑体" w:cs="黑体"/>
          <w:sz w:val="22"/>
          <w:szCs w:val="22"/>
          <w:highlight w:val="none"/>
          <w:u w:val="single"/>
          <w:lang w:val="en-US" w:eastAsia="zh-CN"/>
        </w:rPr>
        <w:t>图：杂物间现状照片</w:t>
      </w:r>
    </w:p>
    <w:p>
      <w:pPr>
        <w:pStyle w:val="3"/>
        <w:bidi w:val="0"/>
        <w:ind w:left="482" w:leftChars="0" w:hanging="425" w:firstLineChars="0"/>
        <w:rPr>
          <w:highlight w:val="none"/>
        </w:rPr>
      </w:pPr>
      <w:bookmarkStart w:id="24" w:name="_Toc1317"/>
      <w:r>
        <w:rPr>
          <w:highlight w:val="none"/>
        </w:rPr>
        <w:t>需求分析</w:t>
      </w:r>
      <w:bookmarkEnd w:id="24"/>
    </w:p>
    <w:p>
      <w:pPr>
        <w:pStyle w:val="4"/>
        <w:bidi w:val="0"/>
        <w:ind w:left="482" w:leftChars="0" w:hanging="425" w:firstLineChars="0"/>
        <w:rPr>
          <w:highlight w:val="none"/>
        </w:rPr>
      </w:pPr>
      <w:bookmarkStart w:id="25" w:name="_Toc20616"/>
      <w:r>
        <w:rPr>
          <w:rFonts w:hint="eastAsia"/>
          <w:highlight w:val="none"/>
          <w:lang w:val="en-US" w:eastAsia="zh-CN"/>
        </w:rPr>
        <w:t>政策</w:t>
      </w:r>
      <w:r>
        <w:rPr>
          <w:rFonts w:hint="eastAsia"/>
          <w:highlight w:val="none"/>
        </w:rPr>
        <w:t>需求</w:t>
      </w:r>
      <w:r>
        <w:rPr>
          <w:highlight w:val="none"/>
        </w:rPr>
        <w:t>分析</w:t>
      </w:r>
      <w:bookmarkEnd w:id="25"/>
    </w:p>
    <w:p>
      <w:pPr>
        <w:spacing w:before="156" w:beforeLines="50"/>
        <w:ind w:firstLine="480"/>
        <w:rPr>
          <w:rFonts w:hint="eastAsia" w:ascii="宋体" w:hAnsi="宋体"/>
          <w:szCs w:val="24"/>
          <w:highlight w:val="none"/>
          <w:lang w:val="en-US" w:eastAsia="zh-CN"/>
        </w:rPr>
      </w:pPr>
      <w:r>
        <w:rPr>
          <w:rFonts w:hint="eastAsia" w:ascii="宋体" w:hAnsi="宋体"/>
          <w:szCs w:val="24"/>
          <w:highlight w:val="none"/>
          <w:lang w:val="en-US" w:eastAsia="zh-CN"/>
        </w:rPr>
        <w:t>根据广东省教育厅关于印发《校园安全管理中心建设指引》的通知（粤教保函[2022] 22号）文件所述：</w:t>
      </w:r>
    </w:p>
    <w:p>
      <w:pPr>
        <w:spacing w:before="156" w:beforeLines="50"/>
        <w:ind w:firstLine="480"/>
        <w:rPr>
          <w:rFonts w:hint="eastAsia" w:ascii="宋体" w:hAnsi="宋体"/>
          <w:b w:val="0"/>
          <w:bCs w:val="0"/>
          <w:szCs w:val="24"/>
          <w:highlight w:val="none"/>
          <w:lang w:val="en-US" w:eastAsia="zh-CN"/>
        </w:rPr>
      </w:pPr>
      <w:r>
        <w:rPr>
          <w:rFonts w:hint="eastAsia" w:ascii="宋体" w:hAnsi="宋体"/>
          <w:b w:val="0"/>
          <w:bCs w:val="0"/>
          <w:szCs w:val="24"/>
          <w:highlight w:val="none"/>
          <w:u w:val="single"/>
          <w:lang w:val="en-US" w:eastAsia="zh-CN"/>
        </w:rPr>
        <w:t>“校园安全管理中心由校园安全管理系统和视频监控联网平台两部分组成。</w:t>
      </w:r>
      <w:r>
        <w:rPr>
          <w:rFonts w:hint="eastAsia" w:ascii="宋体" w:hAnsi="宋体"/>
          <w:szCs w:val="24"/>
          <w:highlight w:val="none"/>
          <w:lang w:val="en-US" w:eastAsia="zh-CN"/>
        </w:rPr>
        <w:t>其建设内容包含: 校园安全管理系统基础架构搭建核心功能开发、视频监控联网平台、高清显示系统、应急指挥调度系统(发言扩音系统及配套设备系统)等基础设施和配套人员运维服务 (人员全时值班，保障工作任务及时响应 )。</w:t>
      </w:r>
      <w:r>
        <w:rPr>
          <w:rFonts w:hint="eastAsia" w:ascii="宋体" w:hAnsi="宋体"/>
          <w:b w:val="0"/>
          <w:bCs w:val="0"/>
          <w:szCs w:val="24"/>
          <w:highlight w:val="none"/>
          <w:u w:val="single"/>
          <w:lang w:val="en-US" w:eastAsia="zh-CN"/>
        </w:rPr>
        <w:t>学校安全管理中心场地面积80-100 m²,</w:t>
      </w:r>
      <w:r>
        <w:rPr>
          <w:rFonts w:hint="eastAsia" w:ascii="宋体" w:hAnsi="宋体"/>
          <w:szCs w:val="24"/>
          <w:highlight w:val="none"/>
          <w:lang w:val="en-US" w:eastAsia="zh-CN"/>
        </w:rPr>
        <w:t>(市、区)级校园安全管理中心场地面积 100 m²-200  m²,地级以上市校园安全管理中心场地面积200 m²-300 m²。</w:t>
      </w:r>
      <w:r>
        <w:rPr>
          <w:rFonts w:hint="eastAsia" w:ascii="宋体" w:hAnsi="宋体"/>
          <w:b w:val="0"/>
          <w:bCs w:val="0"/>
          <w:szCs w:val="24"/>
          <w:highlight w:val="none"/>
          <w:lang w:val="en-US" w:eastAsia="zh-CN"/>
        </w:rPr>
        <w:t>建设需设置应急指挥室、值班室、档案室等主要功能区”。</w:t>
      </w:r>
    </w:p>
    <w:p>
      <w:pPr>
        <w:pStyle w:val="34"/>
        <w:rPr>
          <w:rFonts w:hint="eastAsia"/>
          <w:highlight w:val="none"/>
          <w:lang w:val="en-US" w:eastAsia="zh-CN"/>
        </w:rPr>
      </w:pPr>
      <w:r>
        <w:rPr>
          <w:rFonts w:hint="eastAsia"/>
          <w:highlight w:val="none"/>
          <w:lang w:val="en-US" w:eastAsia="zh-CN"/>
        </w:rPr>
        <w:t>“广东省校园安全管理系统的核心功能由突发事件、监督检查、上报管理、隐患管理、事件管理、消防评估、风险查勘、安全培训、安全资源库等功能组成，后期在基础架构基础上，将设备管理、校车管理、安防管理、食堂管理、实验室管理、宿舍管理纳入到信息化管控中，利用智能硬件、物联网技术为校园安全添砖加瓦，以智能设备弥补人工巡检的不足，保障 24 小时全时段校园安全监测，避免人为疏忽引发隐患危险的发生。未来在业务数据基础上，将风险评估、安全地图纳入到信息化管控中利用信息系统积累的安全业务数据和智能设备信息开展智慧物联和数据挖掘，通过高效发布检查任务、精准发现安全隐患、及时督促整改落实、堵塞安全管理漏洞、提升安全管理效率，为学校的安全工作保驾护航。</w:t>
      </w:r>
    </w:p>
    <w:p>
      <w:pPr>
        <w:pStyle w:val="34"/>
        <w:rPr>
          <w:rFonts w:hint="default"/>
          <w:highlight w:val="none"/>
          <w:lang w:val="en-US" w:eastAsia="zh-CN"/>
        </w:rPr>
      </w:pPr>
      <w:r>
        <w:rPr>
          <w:rFonts w:hint="eastAsia"/>
          <w:b w:val="0"/>
          <w:bCs w:val="0"/>
          <w:highlight w:val="none"/>
          <w:u w:val="single"/>
          <w:lang w:val="en-US" w:eastAsia="zh-CN"/>
        </w:rPr>
        <w:t>广东省校园安全管理系统为省级安全管理的工作平台，各地市学校原则上统一申请使用省平台及移动应用；</w:t>
      </w:r>
      <w:r>
        <w:rPr>
          <w:rFonts w:hint="eastAsia"/>
          <w:b w:val="0"/>
          <w:bCs w:val="0"/>
          <w:highlight w:val="none"/>
          <w:lang w:val="en-US" w:eastAsia="zh-CN"/>
        </w:rPr>
        <w:t>如各地教育局及学校提出个性化需求，可以在省级平台的基础上进行扩容和增加功能模块，须依据省级平台的管理模块、安全表单、检查库等把校园安全基本信息、日常监督管理、整改措施落实等情况及时录入校园安全管理系统，形成隐患排查和整改落实的闭环管理通过系统发布检查任务、隐患整改以及物联设备、安防等校园安全业务数据的连通，实现上传下达，实时反馈。且下级平台数据库必须与省级平台无缝对接，实现数据共享。</w:t>
      </w:r>
      <w:r>
        <w:rPr>
          <w:rFonts w:hint="eastAsia"/>
          <w:highlight w:val="none"/>
          <w:lang w:val="en-US" w:eastAsia="zh-CN"/>
        </w:rPr>
        <w:t>”</w:t>
      </w:r>
    </w:p>
    <w:p>
      <w:pPr>
        <w:pStyle w:val="34"/>
        <w:rPr>
          <w:rFonts w:hint="eastAsia"/>
          <w:b w:val="0"/>
          <w:bCs w:val="0"/>
          <w:highlight w:val="none"/>
          <w:u w:val="single"/>
          <w:lang w:val="en-US" w:eastAsia="zh-CN"/>
        </w:rPr>
      </w:pPr>
      <w:r>
        <w:rPr>
          <w:rFonts w:hint="eastAsia"/>
          <w:highlight w:val="none"/>
          <w:lang w:val="en-US" w:eastAsia="zh-CN"/>
        </w:rPr>
        <w:t>根据指导文件，</w:t>
      </w:r>
      <w:r>
        <w:rPr>
          <w:rFonts w:hint="eastAsia" w:ascii="宋体" w:hAnsi="宋体"/>
          <w:b w:val="0"/>
          <w:bCs w:val="0"/>
          <w:szCs w:val="24"/>
          <w:highlight w:val="none"/>
          <w:lang w:val="en-US" w:eastAsia="zh-CN"/>
        </w:rPr>
        <w:t>校园安全管理中心由校园安全管理系统和视频监控联网平台两部分组成，且</w:t>
      </w:r>
      <w:r>
        <w:rPr>
          <w:rFonts w:hint="eastAsia"/>
          <w:b w:val="0"/>
          <w:bCs w:val="0"/>
          <w:highlight w:val="none"/>
          <w:lang w:val="en-US" w:eastAsia="zh-CN"/>
        </w:rPr>
        <w:t>各地市学校原则上统一申请使用省级</w:t>
      </w:r>
      <w:r>
        <w:rPr>
          <w:rFonts w:hint="eastAsia"/>
          <w:highlight w:val="none"/>
          <w:lang w:val="en-US" w:eastAsia="zh-CN"/>
        </w:rPr>
        <w:t>安全管理系统</w:t>
      </w:r>
      <w:r>
        <w:rPr>
          <w:rFonts w:hint="eastAsia"/>
          <w:b w:val="0"/>
          <w:bCs w:val="0"/>
          <w:highlight w:val="none"/>
          <w:lang w:val="en-US" w:eastAsia="zh-CN"/>
        </w:rPr>
        <w:t>平台及移动应用。而</w:t>
      </w:r>
      <w:r>
        <w:rPr>
          <w:rFonts w:hint="eastAsia" w:ascii="宋体" w:hAnsi="宋体"/>
          <w:b w:val="0"/>
          <w:bCs w:val="0"/>
          <w:szCs w:val="24"/>
          <w:highlight w:val="none"/>
          <w:u w:val="single"/>
          <w:lang w:val="en-US" w:eastAsia="zh-CN"/>
        </w:rPr>
        <w:t>校级视频联网监控平台需接入上级（区县级）视频联网监控平台，需等上级平台建成后才能进行对接。</w:t>
      </w:r>
    </w:p>
    <w:p>
      <w:pPr>
        <w:pStyle w:val="34"/>
        <w:rPr>
          <w:rFonts w:hint="eastAsia"/>
          <w:b w:val="0"/>
          <w:bCs w:val="0"/>
          <w:highlight w:val="none"/>
          <w:lang w:val="en-US" w:eastAsia="zh-CN"/>
        </w:rPr>
      </w:pPr>
      <w:r>
        <w:rPr>
          <w:rFonts w:hint="eastAsia" w:ascii="宋体" w:hAnsi="宋体"/>
          <w:b w:val="0"/>
          <w:bCs w:val="0"/>
          <w:szCs w:val="24"/>
          <w:highlight w:val="none"/>
          <w:lang w:val="en-US" w:eastAsia="zh-CN"/>
        </w:rPr>
        <w:t>结合汕头职业技术学院的实际情况：学院视频监控平台和视频专网已基本建成。因此本项目的</w:t>
      </w:r>
      <w:r>
        <w:rPr>
          <w:rFonts w:hint="eastAsia" w:ascii="宋体" w:hAnsi="宋体"/>
          <w:b w:val="0"/>
          <w:bCs w:val="0"/>
          <w:szCs w:val="24"/>
          <w:highlight w:val="none"/>
          <w:u w:val="single"/>
          <w:lang w:val="en-US" w:eastAsia="zh-CN"/>
        </w:rPr>
        <w:t>建设重点为：</w:t>
      </w:r>
      <w:r>
        <w:rPr>
          <w:rFonts w:hint="eastAsia"/>
          <w:b w:val="0"/>
          <w:bCs w:val="0"/>
          <w:highlight w:val="none"/>
          <w:u w:val="single"/>
          <w:lang w:val="en-US" w:eastAsia="zh-CN"/>
        </w:rPr>
        <w:t>建设校园安全管理中心场所，包括指挥室和机房。</w:t>
      </w:r>
      <w:r>
        <w:rPr>
          <w:rFonts w:hint="eastAsia"/>
          <w:b w:val="0"/>
          <w:bCs w:val="0"/>
          <w:highlight w:val="none"/>
          <w:lang w:val="en-US" w:eastAsia="zh-CN"/>
        </w:rPr>
        <w:t>其中指挥室按要求建设高清显示系统；机房用于部署学院视频监控平台核心设备，实现设备的统一管控。</w:t>
      </w:r>
    </w:p>
    <w:p>
      <w:pPr>
        <w:pStyle w:val="4"/>
        <w:bidi w:val="0"/>
        <w:ind w:left="482" w:leftChars="0" w:hanging="425" w:firstLineChars="0"/>
        <w:rPr>
          <w:rFonts w:hint="default"/>
          <w:highlight w:val="none"/>
          <w:lang w:val="en-US" w:eastAsia="zh-CN"/>
        </w:rPr>
      </w:pPr>
      <w:bookmarkStart w:id="26" w:name="_Toc19242"/>
      <w:r>
        <w:rPr>
          <w:rFonts w:hint="eastAsia"/>
          <w:highlight w:val="none"/>
          <w:lang w:val="en-US" w:eastAsia="zh-CN"/>
        </w:rPr>
        <w:t>安全管理中心场地需求分析</w:t>
      </w:r>
      <w:bookmarkEnd w:id="26"/>
    </w:p>
    <w:p>
      <w:pPr>
        <w:pStyle w:val="5"/>
        <w:bidi w:val="0"/>
        <w:ind w:left="480" w:leftChars="0" w:firstLine="0" w:firstLineChars="0"/>
      </w:pPr>
      <w:r>
        <w:rPr>
          <w:rFonts w:hint="eastAsia"/>
          <w:highlight w:val="none"/>
          <w:lang w:val="en-US" w:eastAsia="zh-CN"/>
        </w:rPr>
        <w:t>总体设计需求</w:t>
      </w:r>
    </w:p>
    <w:p>
      <w:pPr>
        <w:rPr>
          <w:rFonts w:hint="eastAsia"/>
          <w:highlight w:val="none"/>
          <w:lang w:val="en-US" w:eastAsia="zh-CN"/>
        </w:rPr>
      </w:pPr>
      <w:r>
        <w:rPr>
          <w:rFonts w:hint="eastAsia"/>
          <w:highlight w:val="none"/>
          <w:lang w:val="en-US" w:eastAsia="zh-CN"/>
        </w:rPr>
        <w:t>安全管理中心作为一个重要的指挥调度机构，其建设规范需要遵循以下几个方面：</w:t>
      </w:r>
    </w:p>
    <w:p>
      <w:pPr>
        <w:keepNext w:val="0"/>
        <w:keepLines w:val="0"/>
        <w:pageBreakBefore w:val="0"/>
        <w:widowControl w:val="0"/>
        <w:numPr>
          <w:ilvl w:val="0"/>
          <w:numId w:val="7"/>
        </w:numPr>
        <w:kinsoku/>
        <w:wordWrap/>
        <w:overflowPunct/>
        <w:topLinePunct w:val="0"/>
        <w:autoSpaceDE/>
        <w:autoSpaceDN/>
        <w:bidi w:val="0"/>
        <w:adjustRightInd/>
        <w:snapToGrid/>
        <w:ind w:left="0" w:leftChars="0" w:firstLine="480" w:firstLineChars="200"/>
        <w:textAlignment w:val="auto"/>
        <w:rPr>
          <w:rFonts w:hint="eastAsia"/>
          <w:highlight w:val="none"/>
          <w:lang w:val="en-US" w:eastAsia="zh-CN"/>
        </w:rPr>
      </w:pPr>
      <w:r>
        <w:rPr>
          <w:rFonts w:hint="eastAsia"/>
          <w:highlight w:val="none"/>
          <w:lang w:val="en-US" w:eastAsia="zh-CN"/>
        </w:rPr>
        <w:t>布局设计：指挥中心的布局应合理，不同功能区域的位置和相互之间的关系要明确，以便指挥人员能够顺利地进行指挥和协调工作。</w:t>
      </w:r>
    </w:p>
    <w:p>
      <w:pPr>
        <w:keepNext w:val="0"/>
        <w:keepLines w:val="0"/>
        <w:pageBreakBefore w:val="0"/>
        <w:widowControl w:val="0"/>
        <w:numPr>
          <w:ilvl w:val="0"/>
          <w:numId w:val="7"/>
        </w:numPr>
        <w:kinsoku/>
        <w:wordWrap/>
        <w:overflowPunct/>
        <w:topLinePunct w:val="0"/>
        <w:autoSpaceDE/>
        <w:autoSpaceDN/>
        <w:bidi w:val="0"/>
        <w:adjustRightInd/>
        <w:snapToGrid/>
        <w:ind w:left="0" w:leftChars="0" w:firstLine="480" w:firstLineChars="200"/>
        <w:textAlignment w:val="auto"/>
        <w:rPr>
          <w:rFonts w:hint="eastAsia"/>
          <w:highlight w:val="none"/>
          <w:lang w:val="en-US" w:eastAsia="zh-CN"/>
        </w:rPr>
      </w:pPr>
      <w:r>
        <w:rPr>
          <w:rFonts w:hint="eastAsia"/>
          <w:highlight w:val="none"/>
          <w:lang w:val="en-US" w:eastAsia="zh-CN"/>
        </w:rPr>
        <w:t>空间设计：指挥中心的空间设计要符合人体工程学的原则，包括工作区域的面积和高度、工作台的布置、座椅的选择等，以保证指挥人员的工作效率和舒适度。</w:t>
      </w:r>
    </w:p>
    <w:p>
      <w:pPr>
        <w:keepNext w:val="0"/>
        <w:keepLines w:val="0"/>
        <w:pageBreakBefore w:val="0"/>
        <w:widowControl w:val="0"/>
        <w:numPr>
          <w:ilvl w:val="0"/>
          <w:numId w:val="7"/>
        </w:numPr>
        <w:kinsoku/>
        <w:wordWrap/>
        <w:overflowPunct/>
        <w:topLinePunct w:val="0"/>
        <w:autoSpaceDE/>
        <w:autoSpaceDN/>
        <w:bidi w:val="0"/>
        <w:adjustRightInd/>
        <w:snapToGrid/>
        <w:ind w:left="0" w:leftChars="0" w:firstLine="480" w:firstLineChars="200"/>
        <w:textAlignment w:val="auto"/>
        <w:rPr>
          <w:rFonts w:hint="eastAsia"/>
          <w:highlight w:val="none"/>
          <w:lang w:val="en-US" w:eastAsia="zh-CN"/>
        </w:rPr>
      </w:pPr>
      <w:r>
        <w:rPr>
          <w:rFonts w:hint="default"/>
          <w:highlight w:val="none"/>
          <w:lang w:val="en-US" w:eastAsia="zh-CN"/>
        </w:rPr>
        <w:t>通风与采光：指挥中心应保证良好的通风和采光条件，确保空气流通和充足的自然光线，以提升工作环境的舒适性和指挥人员的工作效率。</w:t>
      </w:r>
    </w:p>
    <w:p>
      <w:pPr>
        <w:keepNext w:val="0"/>
        <w:keepLines w:val="0"/>
        <w:pageBreakBefore w:val="0"/>
        <w:widowControl w:val="0"/>
        <w:numPr>
          <w:ilvl w:val="0"/>
          <w:numId w:val="7"/>
        </w:numPr>
        <w:kinsoku/>
        <w:wordWrap/>
        <w:overflowPunct/>
        <w:topLinePunct w:val="0"/>
        <w:autoSpaceDE/>
        <w:autoSpaceDN/>
        <w:bidi w:val="0"/>
        <w:adjustRightInd/>
        <w:snapToGrid/>
        <w:ind w:left="0" w:leftChars="0" w:firstLine="480" w:firstLineChars="200"/>
        <w:textAlignment w:val="auto"/>
        <w:rPr>
          <w:rFonts w:hint="eastAsia"/>
          <w:highlight w:val="none"/>
          <w:lang w:val="en-US" w:eastAsia="zh-CN"/>
        </w:rPr>
      </w:pPr>
      <w:r>
        <w:rPr>
          <w:rFonts w:hint="default"/>
          <w:highlight w:val="none"/>
          <w:lang w:val="en-US" w:eastAsia="zh-CN"/>
        </w:rPr>
        <w:t>环境噪音：指挥中心应采取一定的措施降低环境噪音，以保证指挥人员的工作环境安静，有利于专注和集中精力。</w:t>
      </w:r>
    </w:p>
    <w:p>
      <w:pPr>
        <w:keepNext w:val="0"/>
        <w:keepLines w:val="0"/>
        <w:pageBreakBefore w:val="0"/>
        <w:widowControl w:val="0"/>
        <w:numPr>
          <w:ilvl w:val="0"/>
          <w:numId w:val="7"/>
        </w:numPr>
        <w:kinsoku/>
        <w:wordWrap/>
        <w:overflowPunct/>
        <w:topLinePunct w:val="0"/>
        <w:autoSpaceDE/>
        <w:autoSpaceDN/>
        <w:bidi w:val="0"/>
        <w:adjustRightInd/>
        <w:snapToGrid/>
        <w:ind w:left="0" w:leftChars="0" w:firstLine="480" w:firstLineChars="200"/>
        <w:textAlignment w:val="auto"/>
        <w:rPr>
          <w:rFonts w:hint="eastAsia"/>
          <w:highlight w:val="none"/>
          <w:lang w:val="en-US" w:eastAsia="zh-CN"/>
        </w:rPr>
      </w:pPr>
      <w:r>
        <w:rPr>
          <w:rFonts w:hint="default"/>
          <w:highlight w:val="none"/>
          <w:lang w:val="en-US" w:eastAsia="zh-CN"/>
        </w:rPr>
        <w:t>电力与设备：指挥中心的电力供应要稳定可靠，设备的选用要符合质量和安全标准，保证各种设备的正常运行和指挥工作的顺利进行。</w:t>
      </w:r>
    </w:p>
    <w:p>
      <w:pPr>
        <w:keepNext w:val="0"/>
        <w:keepLines w:val="0"/>
        <w:pageBreakBefore w:val="0"/>
        <w:widowControl w:val="0"/>
        <w:numPr>
          <w:ilvl w:val="0"/>
          <w:numId w:val="7"/>
        </w:numPr>
        <w:kinsoku/>
        <w:wordWrap/>
        <w:overflowPunct/>
        <w:topLinePunct w:val="0"/>
        <w:autoSpaceDE/>
        <w:autoSpaceDN/>
        <w:bidi w:val="0"/>
        <w:adjustRightInd/>
        <w:snapToGrid/>
        <w:ind w:left="0" w:leftChars="0" w:firstLine="480" w:firstLineChars="200"/>
        <w:textAlignment w:val="auto"/>
        <w:rPr>
          <w:rFonts w:hint="eastAsia"/>
          <w:highlight w:val="none"/>
          <w:lang w:val="en-US" w:eastAsia="zh-CN"/>
        </w:rPr>
      </w:pPr>
      <w:r>
        <w:rPr>
          <w:rFonts w:hint="default"/>
          <w:highlight w:val="none"/>
          <w:lang w:val="en-US" w:eastAsia="zh-CN"/>
        </w:rPr>
        <w:t>信息与通信：指挥中心应建立完善的信息系统和通信网络，包括数据采集、处理、传输和展示设备，以及电话、对讲机、视频会议等通信设备，保证指挥人员获取准确信息和进行及时沟通。</w:t>
      </w:r>
    </w:p>
    <w:p>
      <w:pPr>
        <w:keepNext w:val="0"/>
        <w:keepLines w:val="0"/>
        <w:pageBreakBefore w:val="0"/>
        <w:widowControl w:val="0"/>
        <w:numPr>
          <w:ilvl w:val="0"/>
          <w:numId w:val="7"/>
        </w:numPr>
        <w:kinsoku/>
        <w:wordWrap/>
        <w:overflowPunct/>
        <w:topLinePunct w:val="0"/>
        <w:autoSpaceDE/>
        <w:autoSpaceDN/>
        <w:bidi w:val="0"/>
        <w:adjustRightInd/>
        <w:snapToGrid/>
        <w:ind w:left="0" w:leftChars="0" w:firstLine="480" w:firstLineChars="200"/>
        <w:textAlignment w:val="auto"/>
        <w:rPr>
          <w:rFonts w:hint="eastAsia"/>
          <w:highlight w:val="none"/>
          <w:lang w:val="en-US" w:eastAsia="zh-CN"/>
        </w:rPr>
      </w:pPr>
      <w:r>
        <w:rPr>
          <w:rFonts w:hint="default"/>
          <w:highlight w:val="none"/>
          <w:lang w:val="en-US" w:eastAsia="zh-CN"/>
        </w:rPr>
        <w:t>安全防护：指挥中心应具备一定的安全防护措施，包括防火、防盗、视频监控等设施，确保指挥中心的安全和指挥工作的顺利开展。</w:t>
      </w:r>
    </w:p>
    <w:p>
      <w:pPr>
        <w:keepNext w:val="0"/>
        <w:keepLines w:val="0"/>
        <w:pageBreakBefore w:val="0"/>
        <w:widowControl w:val="0"/>
        <w:numPr>
          <w:ilvl w:val="0"/>
          <w:numId w:val="7"/>
        </w:numPr>
        <w:kinsoku/>
        <w:wordWrap/>
        <w:overflowPunct/>
        <w:topLinePunct w:val="0"/>
        <w:autoSpaceDE/>
        <w:autoSpaceDN/>
        <w:bidi w:val="0"/>
        <w:adjustRightInd/>
        <w:snapToGrid/>
        <w:ind w:left="0" w:leftChars="0" w:firstLine="480" w:firstLineChars="200"/>
        <w:textAlignment w:val="auto"/>
        <w:rPr>
          <w:rFonts w:hint="default"/>
          <w:highlight w:val="none"/>
          <w:lang w:val="en-US" w:eastAsia="zh-CN"/>
        </w:rPr>
      </w:pPr>
      <w:r>
        <w:rPr>
          <w:rFonts w:hint="default"/>
          <w:highlight w:val="none"/>
          <w:lang w:val="en-US" w:eastAsia="zh-CN"/>
        </w:rPr>
        <w:t>应急设备和疏散通道：指挥中心应设立应急设备，如备用电源、应急照明和应急通信设备等，同时还需要设置合适的疏散通道，以应对突发事件和紧急情况。</w:t>
      </w:r>
    </w:p>
    <w:p>
      <w:pPr>
        <w:rPr>
          <w:rFonts w:hint="default"/>
          <w:lang w:val="en-US" w:eastAsia="zh-CN"/>
        </w:rPr>
      </w:pPr>
      <w:r>
        <w:rPr>
          <w:rFonts w:hint="eastAsia"/>
          <w:highlight w:val="none"/>
          <w:lang w:val="en-US" w:eastAsia="zh-CN"/>
        </w:rPr>
        <w:t>总之，指挥中心的建设规范是为了提高指挥调度的效率和准确性，保障指挥决策的科学性和及时性。</w:t>
      </w:r>
    </w:p>
    <w:p>
      <w:pPr>
        <w:pStyle w:val="5"/>
        <w:bidi w:val="0"/>
        <w:ind w:left="480" w:leftChars="0" w:firstLine="0" w:firstLineChars="0"/>
        <w:rPr>
          <w:rFonts w:hint="default"/>
          <w:highlight w:val="none"/>
          <w:lang w:val="en-US" w:eastAsia="zh-CN"/>
        </w:rPr>
      </w:pPr>
      <w:r>
        <w:rPr>
          <w:rFonts w:hint="eastAsia"/>
          <w:highlight w:val="none"/>
          <w:lang w:val="en-US" w:eastAsia="zh-CN"/>
        </w:rPr>
        <w:t>场地需求</w:t>
      </w:r>
    </w:p>
    <w:p>
      <w:pPr>
        <w:rPr>
          <w:rFonts w:hint="default"/>
          <w:highlight w:val="none"/>
          <w:lang w:val="en-US" w:eastAsia="zh-CN"/>
        </w:rPr>
      </w:pPr>
      <w:r>
        <w:rPr>
          <w:rFonts w:hint="eastAsia" w:ascii="宋体" w:hAnsi="宋体"/>
          <w:szCs w:val="24"/>
          <w:highlight w:val="none"/>
          <w:lang w:val="en-US" w:eastAsia="zh-CN"/>
        </w:rPr>
        <w:t>根据广东省教育厅关于印发《校园安全管理中心建设指引》的通知（粤教保函[2022] 22号）文件，学校安全管理中心场地面积建议为80-100平方</w:t>
      </w:r>
      <w:r>
        <w:rPr>
          <w:rFonts w:hint="eastAsia"/>
          <w:highlight w:val="none"/>
          <w:lang w:val="en-US" w:eastAsia="zh-CN"/>
        </w:rPr>
        <w:t>，以满足设备摆放要求。</w:t>
      </w:r>
    </w:p>
    <w:p>
      <w:pPr>
        <w:pStyle w:val="5"/>
        <w:bidi w:val="0"/>
        <w:ind w:left="480" w:leftChars="0" w:firstLine="0" w:firstLineChars="0"/>
        <w:rPr>
          <w:rFonts w:hint="eastAsia"/>
          <w:highlight w:val="none"/>
          <w:lang w:val="en-US" w:eastAsia="zh-CN"/>
        </w:rPr>
      </w:pPr>
      <w:r>
        <w:rPr>
          <w:rFonts w:hint="eastAsia"/>
          <w:highlight w:val="none"/>
          <w:lang w:val="en-US" w:eastAsia="zh-CN"/>
        </w:rPr>
        <w:t>选址需求</w:t>
      </w:r>
    </w:p>
    <w:p>
      <w:pPr>
        <w:rPr>
          <w:rFonts w:hint="default"/>
          <w:highlight w:val="none"/>
          <w:lang w:val="en-US" w:eastAsia="zh-CN"/>
        </w:rPr>
      </w:pPr>
      <w:r>
        <w:rPr>
          <w:rFonts w:hint="eastAsia"/>
          <w:highlight w:val="none"/>
          <w:lang w:val="en-US" w:eastAsia="zh-CN"/>
        </w:rPr>
        <w:t>安全管理中心不仅履行实时图像监控、指挥调度职能，还兼顾消防和应急处理的职责。因此，建议选址地点应容易到达和明显位置，以方便学生报警和保卫人员快速出警。且所选场地需考虑防水、防潮需求，尽量选取于地势较高的位置或建筑物二层以上。</w:t>
      </w:r>
    </w:p>
    <w:p>
      <w:pPr>
        <w:pStyle w:val="5"/>
        <w:bidi w:val="0"/>
        <w:ind w:left="480" w:leftChars="0" w:firstLine="0" w:firstLineChars="0"/>
        <w:rPr>
          <w:rFonts w:hint="default"/>
          <w:highlight w:val="none"/>
          <w:lang w:val="en-US" w:eastAsia="zh-CN"/>
        </w:rPr>
      </w:pPr>
      <w:r>
        <w:rPr>
          <w:rFonts w:hint="eastAsia"/>
          <w:highlight w:val="none"/>
          <w:lang w:val="en-US" w:eastAsia="zh-CN"/>
        </w:rPr>
        <w:t>建设内容需求</w:t>
      </w:r>
    </w:p>
    <w:p>
      <w:pPr>
        <w:rPr>
          <w:rFonts w:hint="eastAsia"/>
          <w:highlight w:val="none"/>
          <w:lang w:val="en-US" w:eastAsia="zh-CN"/>
        </w:rPr>
      </w:pPr>
      <w:r>
        <w:rPr>
          <w:rFonts w:hint="eastAsia"/>
          <w:highlight w:val="none"/>
          <w:lang w:val="en-US" w:eastAsia="zh-CN"/>
        </w:rPr>
        <w:t>新建安全管理中心从建设需求上看，主要需建设：显示大屏、操作台、中心机房、装修、机房等保配套等内容。</w:t>
      </w:r>
    </w:p>
    <w:p>
      <w:pPr>
        <w:pStyle w:val="4"/>
        <w:bidi w:val="0"/>
        <w:ind w:left="482" w:leftChars="0" w:hanging="425" w:firstLineChars="0"/>
        <w:rPr>
          <w:rFonts w:hint="default"/>
          <w:highlight w:val="none"/>
          <w:lang w:val="en-US" w:eastAsia="zh-CN"/>
        </w:rPr>
      </w:pPr>
      <w:bookmarkStart w:id="27" w:name="_Toc14488"/>
      <w:r>
        <w:rPr>
          <w:rFonts w:hint="eastAsia"/>
          <w:highlight w:val="none"/>
          <w:lang w:val="en-US" w:eastAsia="zh-CN"/>
        </w:rPr>
        <w:t>机房建设需求分析</w:t>
      </w:r>
      <w:bookmarkEnd w:id="27"/>
    </w:p>
    <w:p>
      <w:pPr>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highlight w:val="none"/>
          <w:lang w:val="en-US" w:eastAsia="zh-CN"/>
        </w:rPr>
      </w:pPr>
      <w:r>
        <w:rPr>
          <w:rFonts w:hint="eastAsia"/>
          <w:highlight w:val="none"/>
          <w:lang w:val="en-US" w:eastAsia="zh-CN"/>
        </w:rPr>
        <w:t>学院视频监控系统核心主要设备目前部署在图书信息大楼五楼网络中心机房。目前机房内已无空余机柜位和机柜空间，不利于学院后续技防系统的扩建和新建。同时，安全管理中心与安防机房距离太远，不利于技防系统的统一管控和运维。因此，本项目建设拟在安全管理中心新建一个安防系统的数据中心机房。</w:t>
      </w:r>
    </w:p>
    <w:p>
      <w:pPr>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highlight w:val="none"/>
          <w:lang w:val="en-US" w:eastAsia="zh-CN"/>
        </w:rPr>
      </w:pPr>
      <w:r>
        <w:rPr>
          <w:rFonts w:hint="eastAsia"/>
          <w:highlight w:val="none"/>
          <w:lang w:val="en-US" w:eastAsia="zh-CN"/>
        </w:rPr>
        <w:t>机房建成后，各系统设备较多，而且机房是各类信息的汇聚点，是保障个系统正常运行的保障枢纽。所以机房建设必须按照国家规范统一建设。保障机房内各系统设备的正常运行，保障机房工作人员安全的工作环境。</w:t>
      </w:r>
    </w:p>
    <w:p>
      <w:pPr>
        <w:keepNext w:val="0"/>
        <w:keepLines w:val="0"/>
        <w:pageBreakBefore w:val="0"/>
        <w:widowControl w:val="0"/>
        <w:numPr>
          <w:ilvl w:val="0"/>
          <w:numId w:val="8"/>
        </w:numPr>
        <w:kinsoku/>
        <w:wordWrap/>
        <w:overflowPunct/>
        <w:topLinePunct w:val="0"/>
        <w:autoSpaceDE/>
        <w:autoSpaceDN/>
        <w:bidi w:val="0"/>
        <w:adjustRightInd/>
        <w:snapToGrid/>
        <w:spacing w:before="157" w:beforeLines="50"/>
        <w:ind w:left="420" w:leftChars="0" w:hanging="420" w:firstLineChars="0"/>
        <w:textAlignment w:val="auto"/>
        <w:rPr>
          <w:rFonts w:hint="eastAsia"/>
          <w:highlight w:val="none"/>
          <w:lang w:val="en-US" w:eastAsia="zh-CN"/>
        </w:rPr>
      </w:pPr>
      <w:r>
        <w:rPr>
          <w:rFonts w:hint="eastAsia"/>
          <w:highlight w:val="none"/>
          <w:lang w:val="en-US" w:eastAsia="zh-CN"/>
        </w:rPr>
        <w:t>必须保证5年的先进性和10以上的可用性。</w:t>
      </w:r>
    </w:p>
    <w:p>
      <w:pPr>
        <w:keepNext w:val="0"/>
        <w:keepLines w:val="0"/>
        <w:pageBreakBefore w:val="0"/>
        <w:widowControl w:val="0"/>
        <w:numPr>
          <w:ilvl w:val="0"/>
          <w:numId w:val="8"/>
        </w:numPr>
        <w:kinsoku/>
        <w:wordWrap/>
        <w:overflowPunct/>
        <w:topLinePunct w:val="0"/>
        <w:autoSpaceDE/>
        <w:autoSpaceDN/>
        <w:bidi w:val="0"/>
        <w:adjustRightInd/>
        <w:snapToGrid/>
        <w:spacing w:before="157" w:beforeLines="50"/>
        <w:ind w:left="420" w:leftChars="0" w:hanging="420" w:firstLineChars="0"/>
        <w:textAlignment w:val="auto"/>
        <w:rPr>
          <w:rFonts w:hint="eastAsia"/>
          <w:highlight w:val="none"/>
          <w:lang w:val="en-US" w:eastAsia="zh-CN"/>
        </w:rPr>
      </w:pPr>
      <w:r>
        <w:rPr>
          <w:rFonts w:hint="eastAsia"/>
          <w:highlight w:val="none"/>
          <w:lang w:val="en-US" w:eastAsia="zh-CN"/>
        </w:rPr>
        <w:t>机房的设计和施工，应按高起点、高水平、高质量，采用新设备、新材料、新工艺的原则进行，设计建设一流计算机机房。</w:t>
      </w:r>
    </w:p>
    <w:p>
      <w:pPr>
        <w:keepNext w:val="0"/>
        <w:keepLines w:val="0"/>
        <w:pageBreakBefore w:val="0"/>
        <w:widowControl w:val="0"/>
        <w:numPr>
          <w:ilvl w:val="0"/>
          <w:numId w:val="8"/>
        </w:numPr>
        <w:kinsoku/>
        <w:wordWrap/>
        <w:overflowPunct/>
        <w:topLinePunct w:val="0"/>
        <w:autoSpaceDE/>
        <w:autoSpaceDN/>
        <w:bidi w:val="0"/>
        <w:adjustRightInd/>
        <w:snapToGrid/>
        <w:spacing w:before="157" w:beforeLines="50"/>
        <w:ind w:left="420" w:leftChars="0" w:hanging="420" w:firstLineChars="0"/>
        <w:textAlignment w:val="auto"/>
        <w:rPr>
          <w:rFonts w:hint="eastAsia"/>
          <w:highlight w:val="none"/>
          <w:lang w:val="en-US" w:eastAsia="zh-CN"/>
        </w:rPr>
      </w:pPr>
      <w:r>
        <w:rPr>
          <w:rFonts w:hint="eastAsia"/>
          <w:highlight w:val="none"/>
          <w:lang w:val="en-US" w:eastAsia="zh-CN"/>
        </w:rPr>
        <w:t>机房设计及施工应保证机房以安全、节能、易管理、环保的原则运行，其中必须将安全作为最重要的因素予以考虑。</w:t>
      </w:r>
    </w:p>
    <w:p>
      <w:pPr>
        <w:keepNext w:val="0"/>
        <w:keepLines w:val="0"/>
        <w:pageBreakBefore w:val="0"/>
        <w:widowControl w:val="0"/>
        <w:numPr>
          <w:ilvl w:val="0"/>
          <w:numId w:val="8"/>
        </w:numPr>
        <w:kinsoku/>
        <w:wordWrap/>
        <w:overflowPunct/>
        <w:topLinePunct w:val="0"/>
        <w:autoSpaceDE/>
        <w:autoSpaceDN/>
        <w:bidi w:val="0"/>
        <w:adjustRightInd/>
        <w:snapToGrid/>
        <w:spacing w:before="157" w:beforeLines="50"/>
        <w:ind w:left="420" w:leftChars="0" w:hanging="420" w:firstLineChars="0"/>
        <w:textAlignment w:val="auto"/>
        <w:rPr>
          <w:rFonts w:hint="eastAsia"/>
          <w:highlight w:val="none"/>
          <w:lang w:val="en-US" w:eastAsia="zh-CN"/>
        </w:rPr>
      </w:pPr>
      <w:r>
        <w:rPr>
          <w:rFonts w:hint="eastAsia"/>
          <w:highlight w:val="none"/>
          <w:lang w:val="en-US" w:eastAsia="zh-CN"/>
        </w:rPr>
        <w:t>本机房的建设，应做到各子系统的有机结合，做到使用简单、管理方便，维护便捷。</w:t>
      </w:r>
    </w:p>
    <w:p>
      <w:pPr>
        <w:pStyle w:val="4"/>
        <w:bidi w:val="0"/>
        <w:ind w:left="482" w:leftChars="0" w:hanging="425" w:firstLineChars="0"/>
        <w:rPr>
          <w:rFonts w:hint="default"/>
          <w:highlight w:val="none"/>
          <w:lang w:val="en-US" w:eastAsia="zh-CN"/>
        </w:rPr>
      </w:pPr>
      <w:bookmarkStart w:id="28" w:name="_Toc22947"/>
      <w:r>
        <w:rPr>
          <w:rFonts w:hint="eastAsia"/>
          <w:highlight w:val="none"/>
          <w:lang w:val="en-US" w:eastAsia="zh-CN"/>
        </w:rPr>
        <w:t>视频监控系统整合需求分析</w:t>
      </w:r>
      <w:bookmarkEnd w:id="28"/>
    </w:p>
    <w:p>
      <w:pPr>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highlight w:val="none"/>
          <w:lang w:val="en-US" w:eastAsia="zh-CN"/>
        </w:rPr>
      </w:pPr>
      <w:r>
        <w:rPr>
          <w:rFonts w:hint="eastAsia"/>
          <w:highlight w:val="none"/>
          <w:lang w:val="en-US" w:eastAsia="zh-CN"/>
        </w:rPr>
        <w:t>结合学院的实际情况，本项目的视频监控系统的整合工作应包括以下两个大目标：</w:t>
      </w:r>
    </w:p>
    <w:p>
      <w:pPr>
        <w:keepNext w:val="0"/>
        <w:keepLines w:val="0"/>
        <w:pageBreakBefore w:val="0"/>
        <w:widowControl w:val="0"/>
        <w:numPr>
          <w:ilvl w:val="0"/>
          <w:numId w:val="9"/>
        </w:numPr>
        <w:kinsoku/>
        <w:wordWrap/>
        <w:overflowPunct/>
        <w:topLinePunct w:val="0"/>
        <w:autoSpaceDE/>
        <w:autoSpaceDN/>
        <w:bidi w:val="0"/>
        <w:adjustRightInd/>
        <w:snapToGrid/>
        <w:spacing w:before="157" w:beforeLines="50"/>
        <w:ind w:left="425" w:leftChars="0" w:hanging="425" w:firstLineChars="0"/>
        <w:textAlignment w:val="auto"/>
        <w:rPr>
          <w:rFonts w:hint="eastAsia"/>
          <w:color w:val="auto"/>
          <w:highlight w:val="none"/>
          <w:lang w:val="en-US" w:eastAsia="zh-CN"/>
        </w:rPr>
      </w:pPr>
      <w:r>
        <w:rPr>
          <w:rFonts w:hint="eastAsia"/>
          <w:color w:val="auto"/>
          <w:highlight w:val="none"/>
          <w:lang w:val="en-US" w:eastAsia="zh-CN"/>
        </w:rPr>
        <w:t>将新楼的视频监控图像，学院视频监控图像</w:t>
      </w:r>
      <w:r>
        <w:rPr>
          <w:rFonts w:hint="eastAsia"/>
          <w:color w:val="auto"/>
          <w:lang w:val="en-US" w:eastAsia="zh-CN"/>
        </w:rPr>
        <w:t>以及足球场的视频监控图像</w:t>
      </w:r>
      <w:r>
        <w:rPr>
          <w:rFonts w:hint="eastAsia"/>
          <w:color w:val="auto"/>
          <w:highlight w:val="none"/>
          <w:lang w:val="en-US" w:eastAsia="zh-CN"/>
        </w:rPr>
        <w:t>传输至新建安全管理中心进行上墙展示；</w:t>
      </w:r>
    </w:p>
    <w:p>
      <w:pPr>
        <w:pStyle w:val="34"/>
        <w:numPr>
          <w:ilvl w:val="0"/>
          <w:numId w:val="9"/>
        </w:numPr>
        <w:ind w:left="425" w:leftChars="0" w:hanging="425" w:firstLineChars="0"/>
        <w:rPr>
          <w:rFonts w:hint="default"/>
          <w:color w:val="auto"/>
          <w:highlight w:val="none"/>
          <w:lang w:val="en-US" w:eastAsia="zh-CN"/>
        </w:rPr>
      </w:pPr>
      <w:r>
        <w:rPr>
          <w:rFonts w:hint="eastAsia"/>
          <w:color w:val="auto"/>
          <w:highlight w:val="none"/>
          <w:lang w:val="en-US" w:eastAsia="zh-CN"/>
        </w:rPr>
        <w:t>将学院视频监控系统、新楼视频监控系统的核心设备都迁移至新建机房并能正常使用。</w:t>
      </w:r>
    </w:p>
    <w:p>
      <w:pPr>
        <w:pStyle w:val="34"/>
        <w:numPr>
          <w:ilvl w:val="0"/>
          <w:numId w:val="9"/>
        </w:numPr>
        <w:ind w:left="425" w:leftChars="0" w:hanging="425" w:firstLineChars="0"/>
        <w:rPr>
          <w:rFonts w:hint="default"/>
          <w:color w:val="auto"/>
          <w:highlight w:val="none"/>
          <w:lang w:val="en-US" w:eastAsia="zh-CN"/>
        </w:rPr>
      </w:pPr>
      <w:r>
        <w:rPr>
          <w:rFonts w:hint="eastAsia"/>
          <w:color w:val="auto"/>
          <w:highlight w:val="none"/>
          <w:lang w:val="en-US" w:eastAsia="zh-CN"/>
        </w:rPr>
        <w:t>在图书信息大楼7楼保卫处客户端电脑上能够查看学院视频监控系统，新楼视频监控系统和足球场视频监控系统的实时预览画面以及录像回放。</w:t>
      </w:r>
    </w:p>
    <w:p>
      <w:pPr>
        <w:pStyle w:val="34"/>
        <w:rPr>
          <w:rFonts w:hint="default"/>
          <w:highlight w:val="none"/>
          <w:lang w:val="en-US" w:eastAsia="zh-CN"/>
        </w:rPr>
      </w:pPr>
    </w:p>
    <w:p>
      <w:pPr>
        <w:pStyle w:val="34"/>
        <w:ind w:left="0" w:leftChars="0" w:firstLine="0" w:firstLineChars="0"/>
        <w:rPr>
          <w:highlight w:val="none"/>
        </w:rPr>
      </w:pPr>
    </w:p>
    <w:p>
      <w:pPr>
        <w:pStyle w:val="2"/>
        <w:keepNext/>
        <w:keepLines/>
        <w:pageBreakBefore/>
        <w:widowControl w:val="0"/>
        <w:kinsoku/>
        <w:wordWrap/>
        <w:overflowPunct/>
        <w:topLinePunct w:val="0"/>
        <w:autoSpaceDE/>
        <w:autoSpaceDN/>
        <w:bidi w:val="0"/>
        <w:adjustRightInd/>
        <w:snapToGrid/>
        <w:ind w:left="482" w:leftChars="0" w:hanging="425" w:firstLineChars="0"/>
        <w:jc w:val="center"/>
        <w:textAlignment w:val="auto"/>
        <w:rPr>
          <w:highlight w:val="none"/>
        </w:rPr>
      </w:pPr>
      <w:bookmarkStart w:id="29" w:name="_Toc4573"/>
      <w:r>
        <w:rPr>
          <w:rFonts w:hint="eastAsia"/>
          <w:highlight w:val="none"/>
        </w:rPr>
        <w:t>详细方案设计</w:t>
      </w:r>
      <w:bookmarkEnd w:id="29"/>
    </w:p>
    <w:p>
      <w:pPr>
        <w:pStyle w:val="3"/>
      </w:pPr>
      <w:bookmarkStart w:id="30" w:name="_Toc23531"/>
      <w:bookmarkStart w:id="31" w:name="_Toc23467"/>
      <w:r>
        <w:rPr>
          <w:rFonts w:hint="eastAsia"/>
          <w:lang w:val="en-US" w:eastAsia="zh-CN"/>
        </w:rPr>
        <w:t>建设理念</w:t>
      </w:r>
      <w:bookmarkEnd w:id="30"/>
      <w:bookmarkEnd w:id="31"/>
    </w:p>
    <w:p>
      <w:pPr>
        <w:spacing w:before="120" w:after="120"/>
        <w:ind w:firstLine="480"/>
        <w:rPr>
          <w:rFonts w:hint="eastAsia" w:ascii="宋体" w:hAnsi="宋体" w:cs="宋体"/>
          <w:szCs w:val="20"/>
        </w:rPr>
      </w:pPr>
      <w:r>
        <w:rPr>
          <w:rFonts w:hint="eastAsia" w:ascii="宋体" w:hAnsi="宋体" w:cs="宋体"/>
          <w:szCs w:val="20"/>
        </w:rPr>
        <w:t>在校园安全和应急管理工作中，建设理念实现了三个转变：即思想观念上变被动为主动，实现由维稳到创稳；应急队伍上变零散为聚合，实现由单兵应急到团队联动；作风建设上变管理为服务，在服务群众中实施管理、创建平安校园。实现校内各职能部门及其与当地派出所的联动，确保快速有效地处置各类应急事件和突发事件，实现应急预案全覆盖，并进一步健全应急管理组织体系及完善、加强综合治理应急救援队伍建设。将成为学校治安综合治理工作的重要窗口，也是协助公安机关打击各类违法犯罪行为的前沿阵地。</w:t>
      </w:r>
    </w:p>
    <w:p>
      <w:pPr>
        <w:pStyle w:val="3"/>
        <w:rPr>
          <w:rFonts w:hint="eastAsia"/>
          <w:lang w:val="en-US" w:eastAsia="zh-CN"/>
        </w:rPr>
      </w:pPr>
      <w:bookmarkStart w:id="32" w:name="_Toc71212731"/>
      <w:bookmarkStart w:id="33" w:name="_Toc16241"/>
      <w:bookmarkStart w:id="34" w:name="_Toc5822"/>
      <w:r>
        <w:rPr>
          <w:rFonts w:hint="eastAsia"/>
          <w:lang w:val="en-US" w:eastAsia="zh-CN"/>
        </w:rPr>
        <w:t>建设目标</w:t>
      </w:r>
      <w:bookmarkEnd w:id="32"/>
      <w:bookmarkEnd w:id="33"/>
      <w:bookmarkEnd w:id="34"/>
    </w:p>
    <w:p>
      <w:pPr>
        <w:spacing w:before="120" w:after="120"/>
        <w:ind w:firstLine="480"/>
      </w:pPr>
      <w:r>
        <w:rPr>
          <w:rFonts w:hint="eastAsia" w:ascii="宋体" w:hAnsi="宋体" w:cs="宋体"/>
          <w:szCs w:val="20"/>
        </w:rPr>
        <w:t>安防</w:t>
      </w:r>
      <w:r>
        <w:rPr>
          <w:rFonts w:hint="eastAsia" w:ascii="宋体" w:hAnsi="宋体" w:cs="宋体"/>
          <w:szCs w:val="20"/>
          <w:lang w:val="en-US" w:eastAsia="zh-CN"/>
        </w:rPr>
        <w:t>管理中心</w:t>
      </w:r>
      <w:r>
        <w:rPr>
          <w:rFonts w:hint="eastAsia" w:ascii="宋体" w:hAnsi="宋体" w:cs="宋体"/>
          <w:szCs w:val="20"/>
        </w:rPr>
        <w:t>建设，拟整合学院现有的视频监控资源、微型消防站，并新增24小时应急热线、一键报警等安防措施。建成集“校园视频监控中心”、“校园应急报警中心”、“校园消防指挥中心”、“校园联防指挥中心”四个中心于一体。通过创新体制机制、利用现代化技术手段等，有效整合校内外资源，全力实现统一指挥，综合联动，高效应对，处置有力的建设目标。立足帮助师生解决应急问题，及时处置突发事件，预防和减少突发事件的发生，在突发事件发生时最大限度控制人员伤害和财产损失，维护校园的安全稳定。</w:t>
      </w:r>
    </w:p>
    <w:p>
      <w:pPr>
        <w:pStyle w:val="3"/>
        <w:bidi w:val="0"/>
        <w:ind w:left="482" w:leftChars="0" w:hanging="425" w:firstLineChars="0"/>
        <w:rPr>
          <w:highlight w:val="none"/>
        </w:rPr>
      </w:pPr>
      <w:bookmarkStart w:id="35" w:name="_Toc3131"/>
      <w:r>
        <w:rPr>
          <w:rFonts w:hint="eastAsia"/>
          <w:highlight w:val="none"/>
          <w:lang w:val="en-US" w:eastAsia="zh-CN"/>
        </w:rPr>
        <w:t>设计内容</w:t>
      </w:r>
      <w:bookmarkEnd w:id="35"/>
    </w:p>
    <w:p>
      <w:pPr>
        <w:pStyle w:val="56"/>
        <w:spacing w:before="156" w:after="156"/>
        <w:ind w:firstLine="480" w:firstLineChars="200"/>
        <w:jc w:val="both"/>
        <w:rPr>
          <w:rFonts w:hint="eastAsia"/>
          <w:color w:val="auto"/>
          <w:spacing w:val="0"/>
          <w:highlight w:val="none"/>
          <w:lang w:val="en-US" w:eastAsia="zh-CN"/>
        </w:rPr>
      </w:pPr>
      <w:r>
        <w:rPr>
          <w:rFonts w:hint="eastAsia"/>
          <w:color w:val="auto"/>
          <w:spacing w:val="0"/>
          <w:highlight w:val="none"/>
          <w:lang w:val="en-US" w:eastAsia="zh-CN"/>
        </w:rPr>
        <w:t>校园安全管理中心由校园安全管理系统和视频监控联网平台两部分组成，但均需申请使用或对接上级平台，该部分工作需等上级平台建成后方可进行对接。本项目的主要建设内容为校园安全管理中心场所建设，包括指挥室和机房两部分。根据安全管理中心设备和办公需求，改造内容包括装修、大屏显示系统、机房建设等内容，具体如下：</w:t>
      </w:r>
    </w:p>
    <w:p>
      <w:pPr>
        <w:pStyle w:val="56"/>
        <w:spacing w:before="156" w:after="156"/>
        <w:ind w:firstLine="480" w:firstLineChars="200"/>
        <w:jc w:val="both"/>
        <w:rPr>
          <w:rFonts w:hint="eastAsia"/>
          <w:color w:val="auto"/>
          <w:spacing w:val="0"/>
          <w:highlight w:val="none"/>
          <w:lang w:val="en-US" w:eastAsia="zh-CN"/>
        </w:rPr>
      </w:pPr>
      <w:r>
        <w:rPr>
          <w:rFonts w:hint="eastAsia"/>
          <w:color w:val="auto"/>
          <w:spacing w:val="0"/>
          <w:highlight w:val="none"/>
          <w:lang w:val="en-US" w:eastAsia="zh-CN"/>
        </w:rPr>
        <w:t>设备部分：大屏显示系统、UPS电源系统、门禁和监控系统、气体灭火系统、机房和平台迁移、保卫处访问新楼区域视频改造、足球场区域视频接入改造等。</w:t>
      </w:r>
    </w:p>
    <w:p>
      <w:pPr>
        <w:pStyle w:val="56"/>
        <w:spacing w:before="156" w:after="156"/>
        <w:ind w:firstLine="480" w:firstLineChars="200"/>
        <w:jc w:val="both"/>
        <w:rPr>
          <w:rFonts w:hint="eastAsia"/>
          <w:color w:val="auto"/>
          <w:spacing w:val="0"/>
          <w:highlight w:val="none"/>
          <w:lang w:val="en-US" w:eastAsia="zh-CN"/>
        </w:rPr>
      </w:pPr>
      <w:r>
        <w:rPr>
          <w:rFonts w:hint="eastAsia"/>
          <w:color w:val="auto"/>
          <w:spacing w:val="0"/>
          <w:highlight w:val="none"/>
          <w:lang w:val="en-US" w:eastAsia="zh-CN"/>
        </w:rPr>
        <w:t>装修部分：窗户封堵、新砌砖墙隔断、天花吊顶、防静电地板、防火门新装、操作台、空调、照明系统、配电系统等。</w:t>
      </w:r>
    </w:p>
    <w:p>
      <w:pPr>
        <w:pStyle w:val="3"/>
        <w:bidi w:val="0"/>
        <w:ind w:left="482" w:leftChars="0" w:hanging="425" w:firstLineChars="0"/>
        <w:rPr>
          <w:rFonts w:hint="eastAsia"/>
          <w:highlight w:val="none"/>
          <w:lang w:val="en-US" w:eastAsia="zh-CN"/>
        </w:rPr>
      </w:pPr>
      <w:bookmarkStart w:id="36" w:name="_Toc71212733"/>
      <w:bookmarkStart w:id="37" w:name="_Toc8259"/>
      <w:bookmarkStart w:id="38" w:name="_Toc42712237"/>
      <w:bookmarkStart w:id="39" w:name="_Toc10004"/>
      <w:bookmarkStart w:id="40" w:name="_Toc200859244"/>
      <w:r>
        <w:rPr>
          <w:rFonts w:hint="eastAsia"/>
          <w:highlight w:val="none"/>
          <w:lang w:val="en-US" w:eastAsia="zh-CN"/>
        </w:rPr>
        <w:t>机房建设标准</w:t>
      </w:r>
      <w:bookmarkEnd w:id="36"/>
      <w:bookmarkEnd w:id="37"/>
      <w:bookmarkEnd w:id="38"/>
      <w:bookmarkEnd w:id="39"/>
    </w:p>
    <w:bookmarkEnd w:id="40"/>
    <w:p>
      <w:pPr>
        <w:spacing w:before="120" w:after="120"/>
        <w:ind w:firstLine="480"/>
        <w:rPr>
          <w:rFonts w:ascii="宋体" w:hAnsi="宋体" w:cs="宋体"/>
          <w:sz w:val="24"/>
          <w:szCs w:val="24"/>
          <w:highlight w:val="none"/>
        </w:rPr>
      </w:pPr>
      <w:r>
        <w:rPr>
          <w:rFonts w:hint="eastAsia" w:ascii="宋体" w:hAnsi="宋体" w:cs="宋体"/>
          <w:sz w:val="24"/>
          <w:szCs w:val="24"/>
          <w:highlight w:val="none"/>
        </w:rPr>
        <w:t>按照我国《数据中心设计规范》（GB50174-2017），数据中心可根据使用性质、管理要求及由于场地设备故障导致电子信息系统运行中断在经济和社会上造成的损失或影响程度，分为A、B、C三级。</w:t>
      </w:r>
    </w:p>
    <w:p>
      <w:pPr>
        <w:spacing w:before="120" w:after="120"/>
        <w:ind w:firstLine="480"/>
        <w:rPr>
          <w:rFonts w:ascii="宋体" w:hAnsi="宋体" w:cs="宋体"/>
          <w:sz w:val="24"/>
          <w:szCs w:val="24"/>
          <w:highlight w:val="none"/>
        </w:rPr>
      </w:pPr>
      <w:r>
        <w:rPr>
          <w:rFonts w:hint="eastAsia" w:ascii="宋体" w:hAnsi="宋体" w:cs="宋体"/>
          <w:sz w:val="24"/>
          <w:szCs w:val="24"/>
          <w:highlight w:val="none"/>
        </w:rPr>
        <w:t>A级为容错型，在系统需要运行期间，其场地设备不应因操作失误、设备故障、外电源中断、维护和检修而导致电子信息系统运行中断。</w:t>
      </w:r>
    </w:p>
    <w:p>
      <w:pPr>
        <w:spacing w:before="120" w:after="120"/>
        <w:ind w:firstLine="480"/>
        <w:rPr>
          <w:rFonts w:ascii="宋体" w:hAnsi="宋体" w:cs="宋体"/>
          <w:sz w:val="24"/>
          <w:szCs w:val="24"/>
          <w:highlight w:val="none"/>
        </w:rPr>
      </w:pPr>
      <w:r>
        <w:rPr>
          <w:rFonts w:hint="eastAsia" w:ascii="宋体" w:hAnsi="宋体" w:cs="宋体"/>
          <w:sz w:val="24"/>
          <w:szCs w:val="24"/>
          <w:highlight w:val="none"/>
        </w:rPr>
        <w:t>B级为冗余型，在系统需要运行期间，其场地设备在冗余能力范围内，不应因设备故障而导致电子信息系统运行中断。</w:t>
      </w:r>
    </w:p>
    <w:p>
      <w:pPr>
        <w:spacing w:before="120" w:after="120"/>
        <w:ind w:firstLine="480"/>
        <w:rPr>
          <w:rFonts w:ascii="宋体" w:hAnsi="宋体" w:cs="宋体"/>
          <w:sz w:val="24"/>
          <w:szCs w:val="24"/>
          <w:highlight w:val="none"/>
        </w:rPr>
      </w:pPr>
      <w:r>
        <w:rPr>
          <w:rFonts w:hint="eastAsia" w:ascii="宋体" w:hAnsi="宋体" w:cs="宋体"/>
          <w:sz w:val="24"/>
          <w:szCs w:val="24"/>
          <w:highlight w:val="none"/>
        </w:rPr>
        <w:t>C级为基本型，在场地设备正常运行情况下，应保证电子信息系统运行不中断。</w:t>
      </w:r>
    </w:p>
    <w:p>
      <w:pPr>
        <w:spacing w:before="120" w:after="120"/>
        <w:ind w:firstLine="480"/>
        <w:rPr>
          <w:rFonts w:ascii="宋体" w:hAnsi="宋体" w:cs="宋体"/>
          <w:sz w:val="24"/>
          <w:szCs w:val="24"/>
          <w:highlight w:val="none"/>
        </w:rPr>
      </w:pPr>
      <w:r>
        <w:rPr>
          <w:rFonts w:hint="eastAsia" w:ascii="宋体" w:hAnsi="宋体" w:cs="宋体"/>
          <w:sz w:val="24"/>
          <w:szCs w:val="24"/>
          <w:highlight w:val="none"/>
        </w:rPr>
        <w:t>本项目机房工程</w:t>
      </w:r>
      <w:r>
        <w:rPr>
          <w:rFonts w:hint="eastAsia" w:ascii="宋体" w:hAnsi="宋体" w:cs="宋体"/>
          <w:b/>
          <w:bCs/>
          <w:sz w:val="24"/>
          <w:szCs w:val="24"/>
          <w:highlight w:val="none"/>
        </w:rPr>
        <w:t>按照</w:t>
      </w:r>
      <w:r>
        <w:rPr>
          <w:rFonts w:ascii="宋体" w:hAnsi="宋体" w:cs="宋体"/>
          <w:b/>
          <w:bCs/>
          <w:sz w:val="24"/>
          <w:szCs w:val="24"/>
          <w:highlight w:val="none"/>
        </w:rPr>
        <w:t>C</w:t>
      </w:r>
      <w:r>
        <w:rPr>
          <w:rFonts w:hint="eastAsia" w:ascii="宋体" w:hAnsi="宋体" w:cs="宋体"/>
          <w:b/>
          <w:bCs/>
          <w:sz w:val="24"/>
          <w:szCs w:val="24"/>
          <w:highlight w:val="none"/>
        </w:rPr>
        <w:t>类标准</w:t>
      </w:r>
      <w:r>
        <w:rPr>
          <w:rFonts w:hint="eastAsia" w:ascii="宋体" w:hAnsi="宋体" w:cs="宋体"/>
          <w:sz w:val="24"/>
          <w:szCs w:val="24"/>
          <w:highlight w:val="none"/>
        </w:rPr>
        <w:t>进行</w:t>
      </w:r>
      <w:r>
        <w:rPr>
          <w:rFonts w:ascii="宋体" w:hAnsi="宋体" w:cs="宋体"/>
          <w:sz w:val="24"/>
          <w:szCs w:val="24"/>
          <w:highlight w:val="none"/>
        </w:rPr>
        <w:t>建设</w:t>
      </w:r>
    </w:p>
    <w:p>
      <w:pPr>
        <w:pStyle w:val="67"/>
        <w:numPr>
          <w:ilvl w:val="0"/>
          <w:numId w:val="10"/>
        </w:numPr>
        <w:ind w:firstLineChars="0"/>
        <w:rPr>
          <w:rFonts w:ascii="宋体" w:hAnsi="宋体"/>
          <w:sz w:val="24"/>
          <w:szCs w:val="24"/>
          <w:highlight w:val="none"/>
        </w:rPr>
      </w:pPr>
      <w:r>
        <w:rPr>
          <w:rFonts w:hint="eastAsia" w:ascii="宋体" w:hAnsi="宋体"/>
          <w:sz w:val="24"/>
          <w:szCs w:val="24"/>
          <w:highlight w:val="none"/>
        </w:rPr>
        <w:t>温湿度：</w:t>
      </w:r>
    </w:p>
    <w:p>
      <w:pPr>
        <w:pStyle w:val="67"/>
        <w:ind w:firstLine="480"/>
        <w:rPr>
          <w:rFonts w:ascii="宋体" w:hAnsi="宋体" w:cs="Verdana"/>
          <w:sz w:val="24"/>
          <w:szCs w:val="24"/>
          <w:highlight w:val="none"/>
        </w:rPr>
      </w:pPr>
      <w:r>
        <w:rPr>
          <w:rFonts w:ascii="宋体" w:hAnsi="宋体" w:cs="Verdana"/>
          <w:sz w:val="24"/>
          <w:szCs w:val="24"/>
          <w:highlight w:val="none"/>
        </w:rPr>
        <w:t>1</w:t>
      </w:r>
      <w:r>
        <w:rPr>
          <w:rFonts w:hint="eastAsia" w:ascii="宋体" w:hAnsi="宋体" w:cs="Verdana"/>
          <w:sz w:val="24"/>
          <w:szCs w:val="24"/>
          <w:highlight w:val="none"/>
        </w:rPr>
        <w:t>、温度：5-35℃（停机</w:t>
      </w:r>
      <w:r>
        <w:rPr>
          <w:rFonts w:ascii="宋体" w:hAnsi="宋体" w:cs="Verdana"/>
          <w:sz w:val="24"/>
          <w:szCs w:val="24"/>
          <w:highlight w:val="none"/>
        </w:rPr>
        <w:t>时</w:t>
      </w:r>
      <w:r>
        <w:rPr>
          <w:rFonts w:hint="eastAsia" w:ascii="宋体" w:hAnsi="宋体" w:cs="Verdana"/>
          <w:sz w:val="24"/>
          <w:szCs w:val="24"/>
          <w:highlight w:val="none"/>
        </w:rPr>
        <w:t>），</w:t>
      </w:r>
      <w:r>
        <w:rPr>
          <w:rFonts w:ascii="宋体" w:hAnsi="宋体" w:cs="Verdana"/>
          <w:sz w:val="24"/>
          <w:szCs w:val="24"/>
          <w:highlight w:val="none"/>
        </w:rPr>
        <w:t>18</w:t>
      </w:r>
      <w:r>
        <w:rPr>
          <w:rFonts w:hint="eastAsia" w:ascii="宋体" w:hAnsi="宋体" w:cs="Verdana"/>
          <w:sz w:val="24"/>
          <w:szCs w:val="24"/>
          <w:highlight w:val="none"/>
        </w:rPr>
        <w:t>-</w:t>
      </w:r>
      <w:r>
        <w:rPr>
          <w:rFonts w:ascii="宋体" w:hAnsi="宋体" w:cs="Verdana"/>
          <w:sz w:val="24"/>
          <w:szCs w:val="24"/>
          <w:highlight w:val="none"/>
        </w:rPr>
        <w:t>28</w:t>
      </w:r>
      <w:r>
        <w:rPr>
          <w:rFonts w:hint="eastAsia" w:ascii="宋体" w:hAnsi="宋体" w:cs="Verdana"/>
          <w:sz w:val="24"/>
          <w:szCs w:val="24"/>
          <w:highlight w:val="none"/>
        </w:rPr>
        <w:t>℃（开机</w:t>
      </w:r>
      <w:r>
        <w:rPr>
          <w:rFonts w:ascii="宋体" w:hAnsi="宋体" w:cs="Verdana"/>
          <w:sz w:val="24"/>
          <w:szCs w:val="24"/>
          <w:highlight w:val="none"/>
        </w:rPr>
        <w:t>时</w:t>
      </w:r>
      <w:r>
        <w:rPr>
          <w:rFonts w:hint="eastAsia" w:ascii="宋体" w:hAnsi="宋体" w:cs="Verdana"/>
          <w:sz w:val="24"/>
          <w:szCs w:val="24"/>
          <w:highlight w:val="none"/>
        </w:rPr>
        <w:t>）</w:t>
      </w:r>
    </w:p>
    <w:p>
      <w:pPr>
        <w:pStyle w:val="67"/>
        <w:ind w:firstLine="480"/>
        <w:rPr>
          <w:rFonts w:ascii="宋体" w:hAnsi="宋体" w:cs="Verdana"/>
          <w:sz w:val="24"/>
          <w:szCs w:val="24"/>
          <w:highlight w:val="none"/>
        </w:rPr>
      </w:pPr>
      <w:r>
        <w:rPr>
          <w:rFonts w:ascii="宋体" w:hAnsi="宋体" w:cs="Verdana"/>
          <w:sz w:val="24"/>
          <w:szCs w:val="24"/>
          <w:highlight w:val="none"/>
        </w:rPr>
        <w:t>2</w:t>
      </w:r>
      <w:r>
        <w:rPr>
          <w:rFonts w:hint="eastAsia" w:ascii="宋体" w:hAnsi="宋体" w:cs="Verdana"/>
          <w:sz w:val="24"/>
          <w:szCs w:val="24"/>
          <w:highlight w:val="none"/>
        </w:rPr>
        <w:t>、相对湿度：</w:t>
      </w:r>
      <w:r>
        <w:rPr>
          <w:rFonts w:ascii="宋体" w:hAnsi="宋体" w:cs="Verdana"/>
          <w:sz w:val="24"/>
          <w:szCs w:val="24"/>
          <w:highlight w:val="none"/>
        </w:rPr>
        <w:t>20%—80%</w:t>
      </w:r>
      <w:r>
        <w:rPr>
          <w:rFonts w:hint="eastAsia" w:ascii="宋体" w:hAnsi="宋体" w:cs="Verdana"/>
          <w:sz w:val="24"/>
          <w:szCs w:val="24"/>
          <w:highlight w:val="none"/>
        </w:rPr>
        <w:t>（停机</w:t>
      </w:r>
      <w:r>
        <w:rPr>
          <w:rFonts w:ascii="宋体" w:hAnsi="宋体" w:cs="Verdana"/>
          <w:sz w:val="24"/>
          <w:szCs w:val="24"/>
          <w:highlight w:val="none"/>
        </w:rPr>
        <w:t>时</w:t>
      </w:r>
      <w:r>
        <w:rPr>
          <w:rFonts w:hint="eastAsia" w:ascii="宋体" w:hAnsi="宋体" w:cs="Verdana"/>
          <w:sz w:val="24"/>
          <w:szCs w:val="24"/>
          <w:highlight w:val="none"/>
        </w:rPr>
        <w:t>）</w:t>
      </w:r>
      <w:r>
        <w:rPr>
          <w:rFonts w:ascii="宋体" w:hAnsi="宋体" w:cs="Verdana"/>
          <w:sz w:val="24"/>
          <w:szCs w:val="24"/>
          <w:highlight w:val="none"/>
        </w:rPr>
        <w:t>，</w:t>
      </w:r>
      <w:r>
        <w:rPr>
          <w:rFonts w:hint="eastAsia" w:ascii="宋体" w:hAnsi="宋体" w:cs="Verdana"/>
          <w:sz w:val="24"/>
          <w:szCs w:val="24"/>
          <w:highlight w:val="none"/>
        </w:rPr>
        <w:t>35</w:t>
      </w:r>
      <w:r>
        <w:rPr>
          <w:rFonts w:ascii="宋体" w:hAnsi="宋体" w:cs="Verdana"/>
          <w:sz w:val="24"/>
          <w:szCs w:val="24"/>
          <w:highlight w:val="none"/>
        </w:rPr>
        <w:t>%-75%（</w:t>
      </w:r>
      <w:r>
        <w:rPr>
          <w:rFonts w:hint="eastAsia" w:ascii="宋体" w:hAnsi="宋体" w:cs="Verdana"/>
          <w:sz w:val="24"/>
          <w:szCs w:val="24"/>
          <w:highlight w:val="none"/>
        </w:rPr>
        <w:t>开机时</w:t>
      </w:r>
      <w:r>
        <w:rPr>
          <w:rFonts w:ascii="宋体" w:hAnsi="宋体" w:cs="Verdana"/>
          <w:sz w:val="24"/>
          <w:szCs w:val="24"/>
          <w:highlight w:val="none"/>
        </w:rPr>
        <w:t>）</w:t>
      </w:r>
    </w:p>
    <w:p>
      <w:pPr>
        <w:pStyle w:val="67"/>
        <w:ind w:firstLine="480"/>
        <w:rPr>
          <w:rFonts w:ascii="宋体" w:hAnsi="宋体" w:cs="Verdana"/>
          <w:sz w:val="24"/>
          <w:szCs w:val="24"/>
          <w:highlight w:val="none"/>
        </w:rPr>
      </w:pPr>
      <w:r>
        <w:rPr>
          <w:rFonts w:ascii="宋体" w:hAnsi="宋体" w:cs="Verdana"/>
          <w:sz w:val="24"/>
          <w:szCs w:val="24"/>
          <w:highlight w:val="none"/>
        </w:rPr>
        <w:t>3</w:t>
      </w:r>
      <w:r>
        <w:rPr>
          <w:rFonts w:hint="eastAsia" w:ascii="宋体" w:hAnsi="宋体" w:cs="Verdana"/>
          <w:sz w:val="24"/>
          <w:szCs w:val="24"/>
          <w:highlight w:val="none"/>
        </w:rPr>
        <w:t>、温度变化率：</w:t>
      </w:r>
      <w:r>
        <w:rPr>
          <w:rFonts w:ascii="宋体" w:hAnsi="宋体" w:cs="Verdana"/>
          <w:sz w:val="24"/>
          <w:szCs w:val="24"/>
          <w:highlight w:val="none"/>
        </w:rPr>
        <w:t>&lt;10</w:t>
      </w:r>
      <w:r>
        <w:rPr>
          <w:rFonts w:hint="eastAsia" w:ascii="宋体" w:hAnsi="宋体" w:cs="Verdana"/>
          <w:sz w:val="24"/>
          <w:szCs w:val="24"/>
          <w:highlight w:val="none"/>
        </w:rPr>
        <w:t>℃</w:t>
      </w:r>
      <w:r>
        <w:rPr>
          <w:rFonts w:ascii="宋体" w:hAnsi="宋体" w:cs="Verdana"/>
          <w:sz w:val="24"/>
          <w:szCs w:val="24"/>
          <w:highlight w:val="none"/>
        </w:rPr>
        <w:t>/h</w:t>
      </w:r>
      <w:r>
        <w:rPr>
          <w:rFonts w:hint="eastAsia" w:ascii="宋体" w:hAnsi="宋体" w:cs="Verdana"/>
          <w:sz w:val="24"/>
          <w:szCs w:val="24"/>
          <w:highlight w:val="none"/>
        </w:rPr>
        <w:t>，不结露</w:t>
      </w:r>
    </w:p>
    <w:p>
      <w:pPr>
        <w:pStyle w:val="67"/>
        <w:numPr>
          <w:ilvl w:val="0"/>
          <w:numId w:val="10"/>
        </w:numPr>
        <w:ind w:firstLineChars="0"/>
        <w:rPr>
          <w:rFonts w:ascii="宋体" w:hAnsi="宋体"/>
          <w:sz w:val="24"/>
          <w:szCs w:val="24"/>
          <w:highlight w:val="none"/>
        </w:rPr>
      </w:pPr>
      <w:r>
        <w:rPr>
          <w:rFonts w:hint="eastAsia" w:ascii="宋体" w:hAnsi="宋体"/>
          <w:sz w:val="24"/>
          <w:szCs w:val="24"/>
          <w:highlight w:val="none"/>
        </w:rPr>
        <w:t>尘埃：主机房在静态条件下测试，≥</w:t>
      </w:r>
      <w:r>
        <w:rPr>
          <w:rFonts w:ascii="宋体" w:hAnsi="宋体"/>
          <w:sz w:val="24"/>
          <w:szCs w:val="24"/>
          <w:highlight w:val="none"/>
        </w:rPr>
        <w:t>0.5μm</w:t>
      </w:r>
      <w:r>
        <w:rPr>
          <w:rFonts w:hint="eastAsia" w:ascii="宋体" w:hAnsi="宋体"/>
          <w:sz w:val="24"/>
          <w:szCs w:val="24"/>
          <w:highlight w:val="none"/>
        </w:rPr>
        <w:t>的尘粒数应＜</w:t>
      </w:r>
      <w:r>
        <w:rPr>
          <w:rFonts w:ascii="宋体" w:hAnsi="宋体"/>
          <w:sz w:val="24"/>
          <w:szCs w:val="24"/>
          <w:highlight w:val="none"/>
        </w:rPr>
        <w:t>18000/dm3</w:t>
      </w:r>
      <w:r>
        <w:rPr>
          <w:rFonts w:hint="eastAsia" w:ascii="宋体" w:hAnsi="宋体"/>
          <w:sz w:val="24"/>
          <w:szCs w:val="24"/>
          <w:highlight w:val="none"/>
        </w:rPr>
        <w:t>。</w:t>
      </w:r>
    </w:p>
    <w:p>
      <w:pPr>
        <w:pStyle w:val="67"/>
        <w:numPr>
          <w:ilvl w:val="0"/>
          <w:numId w:val="10"/>
        </w:numPr>
        <w:ind w:firstLineChars="0"/>
        <w:rPr>
          <w:rFonts w:ascii="宋体" w:hAnsi="宋体"/>
          <w:sz w:val="24"/>
          <w:szCs w:val="24"/>
          <w:highlight w:val="none"/>
        </w:rPr>
      </w:pPr>
      <w:r>
        <w:rPr>
          <w:rFonts w:hint="eastAsia" w:ascii="宋体" w:hAnsi="宋体"/>
          <w:sz w:val="24"/>
          <w:szCs w:val="24"/>
          <w:highlight w:val="none"/>
        </w:rPr>
        <w:t>噪音：主机房内的噪声，在计算机系统停机条件下，在主操作员位置测量应小于</w:t>
      </w:r>
      <w:r>
        <w:rPr>
          <w:rFonts w:ascii="宋体" w:hAnsi="宋体"/>
          <w:sz w:val="24"/>
          <w:szCs w:val="24"/>
          <w:highlight w:val="none"/>
        </w:rPr>
        <w:t>68dB</w:t>
      </w:r>
      <w:r>
        <w:rPr>
          <w:rFonts w:hint="eastAsia" w:ascii="宋体" w:hAnsi="宋体"/>
          <w:sz w:val="24"/>
          <w:szCs w:val="24"/>
          <w:highlight w:val="none"/>
        </w:rPr>
        <w:t>（</w:t>
      </w:r>
      <w:r>
        <w:rPr>
          <w:rFonts w:ascii="宋体" w:hAnsi="宋体"/>
          <w:sz w:val="24"/>
          <w:szCs w:val="24"/>
          <w:highlight w:val="none"/>
        </w:rPr>
        <w:t>A</w:t>
      </w:r>
      <w:r>
        <w:rPr>
          <w:rFonts w:hint="eastAsia" w:ascii="宋体" w:hAnsi="宋体"/>
          <w:sz w:val="24"/>
          <w:szCs w:val="24"/>
          <w:highlight w:val="none"/>
        </w:rPr>
        <w:t>）。</w:t>
      </w:r>
    </w:p>
    <w:p>
      <w:pPr>
        <w:pStyle w:val="67"/>
        <w:numPr>
          <w:ilvl w:val="0"/>
          <w:numId w:val="10"/>
        </w:numPr>
        <w:ind w:firstLineChars="0"/>
        <w:rPr>
          <w:rFonts w:ascii="宋体" w:hAnsi="宋体"/>
          <w:sz w:val="24"/>
          <w:szCs w:val="24"/>
          <w:highlight w:val="none"/>
        </w:rPr>
      </w:pPr>
      <w:r>
        <w:rPr>
          <w:rFonts w:hint="eastAsia" w:ascii="宋体" w:hAnsi="宋体"/>
          <w:sz w:val="24"/>
          <w:szCs w:val="24"/>
          <w:highlight w:val="none"/>
        </w:rPr>
        <w:t>机房电磁干扰：机房内无线电干扰场强，在</w:t>
      </w:r>
      <w:r>
        <w:rPr>
          <w:rFonts w:ascii="宋体" w:hAnsi="宋体"/>
          <w:sz w:val="24"/>
          <w:szCs w:val="24"/>
          <w:highlight w:val="none"/>
        </w:rPr>
        <w:t>0.15—1000MHZ</w:t>
      </w:r>
      <w:r>
        <w:rPr>
          <w:rFonts w:hint="eastAsia" w:ascii="宋体" w:hAnsi="宋体"/>
          <w:sz w:val="24"/>
          <w:szCs w:val="24"/>
          <w:highlight w:val="none"/>
        </w:rPr>
        <w:t>时，机房内无线电干扰场强不应大于</w:t>
      </w:r>
      <w:r>
        <w:rPr>
          <w:rFonts w:ascii="宋体" w:hAnsi="宋体"/>
          <w:sz w:val="24"/>
          <w:szCs w:val="24"/>
          <w:highlight w:val="none"/>
        </w:rPr>
        <w:t>120db</w:t>
      </w:r>
      <w:r>
        <w:rPr>
          <w:rFonts w:hint="eastAsia" w:ascii="宋体" w:hAnsi="宋体"/>
          <w:sz w:val="24"/>
          <w:szCs w:val="24"/>
          <w:highlight w:val="none"/>
        </w:rPr>
        <w:t>，磁场干扰环境场强不应大于</w:t>
      </w:r>
      <w:r>
        <w:rPr>
          <w:rFonts w:ascii="宋体" w:hAnsi="宋体"/>
          <w:sz w:val="24"/>
          <w:szCs w:val="24"/>
          <w:highlight w:val="none"/>
        </w:rPr>
        <w:t>800A/m</w:t>
      </w:r>
      <w:r>
        <w:rPr>
          <w:rFonts w:hint="eastAsia" w:ascii="宋体" w:hAnsi="宋体"/>
          <w:sz w:val="24"/>
          <w:szCs w:val="24"/>
          <w:highlight w:val="none"/>
        </w:rPr>
        <w:t>。</w:t>
      </w:r>
    </w:p>
    <w:p>
      <w:pPr>
        <w:pStyle w:val="67"/>
        <w:numPr>
          <w:ilvl w:val="0"/>
          <w:numId w:val="10"/>
        </w:numPr>
        <w:ind w:firstLineChars="0"/>
        <w:rPr>
          <w:rFonts w:ascii="宋体" w:hAnsi="宋体"/>
          <w:sz w:val="24"/>
          <w:szCs w:val="24"/>
          <w:highlight w:val="none"/>
        </w:rPr>
      </w:pPr>
      <w:r>
        <w:rPr>
          <w:rFonts w:hint="eastAsia" w:ascii="宋体" w:hAnsi="宋体"/>
          <w:sz w:val="24"/>
          <w:szCs w:val="24"/>
          <w:highlight w:val="none"/>
        </w:rPr>
        <w:t>静电泄漏电阻：主机房地面及工作台面的静电泄漏电阻，应符合现行国家标准的规定。</w:t>
      </w:r>
    </w:p>
    <w:p>
      <w:pPr>
        <w:pStyle w:val="67"/>
        <w:numPr>
          <w:ilvl w:val="0"/>
          <w:numId w:val="10"/>
        </w:numPr>
        <w:ind w:firstLineChars="0"/>
        <w:rPr>
          <w:rFonts w:ascii="宋体" w:hAnsi="宋体"/>
          <w:sz w:val="24"/>
          <w:szCs w:val="24"/>
          <w:highlight w:val="none"/>
        </w:rPr>
      </w:pPr>
      <w:r>
        <w:rPr>
          <w:rFonts w:hint="eastAsia" w:ascii="宋体" w:hAnsi="宋体"/>
          <w:sz w:val="24"/>
          <w:szCs w:val="24"/>
          <w:highlight w:val="none"/>
        </w:rPr>
        <w:t>绝缘体的静电电压：≤</w:t>
      </w:r>
      <w:r>
        <w:rPr>
          <w:rFonts w:ascii="宋体" w:hAnsi="宋体"/>
          <w:sz w:val="24"/>
          <w:szCs w:val="24"/>
          <w:highlight w:val="none"/>
        </w:rPr>
        <w:t>1KV</w:t>
      </w:r>
      <w:r>
        <w:rPr>
          <w:rFonts w:hint="eastAsia" w:ascii="宋体" w:hAnsi="宋体"/>
          <w:sz w:val="24"/>
          <w:szCs w:val="24"/>
          <w:highlight w:val="none"/>
        </w:rPr>
        <w:t>。</w:t>
      </w:r>
    </w:p>
    <w:p>
      <w:pPr>
        <w:pStyle w:val="67"/>
        <w:numPr>
          <w:ilvl w:val="0"/>
          <w:numId w:val="10"/>
        </w:numPr>
        <w:ind w:firstLineChars="0"/>
        <w:rPr>
          <w:rFonts w:ascii="宋体" w:hAnsi="宋体"/>
          <w:sz w:val="24"/>
          <w:szCs w:val="24"/>
          <w:highlight w:val="none"/>
        </w:rPr>
      </w:pPr>
      <w:r>
        <w:rPr>
          <w:rFonts w:hint="eastAsia" w:ascii="宋体" w:hAnsi="宋体"/>
          <w:sz w:val="24"/>
          <w:szCs w:val="24"/>
          <w:highlight w:val="none"/>
        </w:rPr>
        <w:t>照度：距地面</w:t>
      </w:r>
      <w:r>
        <w:rPr>
          <w:rFonts w:ascii="宋体" w:hAnsi="宋体"/>
          <w:sz w:val="24"/>
          <w:szCs w:val="24"/>
          <w:highlight w:val="none"/>
        </w:rPr>
        <w:t>0.8m</w:t>
      </w:r>
      <w:r>
        <w:rPr>
          <w:rFonts w:hint="eastAsia" w:ascii="宋体" w:hAnsi="宋体"/>
          <w:sz w:val="24"/>
          <w:szCs w:val="24"/>
          <w:highlight w:val="none"/>
        </w:rPr>
        <w:t>处：主机房照度为</w:t>
      </w:r>
      <w:r>
        <w:rPr>
          <w:rFonts w:ascii="宋体" w:hAnsi="宋体"/>
          <w:sz w:val="24"/>
          <w:szCs w:val="24"/>
          <w:highlight w:val="none"/>
        </w:rPr>
        <w:t>500Lux</w:t>
      </w:r>
      <w:r>
        <w:rPr>
          <w:rFonts w:hint="eastAsia" w:ascii="宋体" w:hAnsi="宋体"/>
          <w:sz w:val="24"/>
          <w:szCs w:val="24"/>
          <w:highlight w:val="none"/>
        </w:rPr>
        <w:t>；辅助区域不低于</w:t>
      </w:r>
      <w:r>
        <w:rPr>
          <w:rFonts w:ascii="宋体" w:hAnsi="宋体"/>
          <w:sz w:val="24"/>
          <w:szCs w:val="24"/>
          <w:highlight w:val="none"/>
        </w:rPr>
        <w:t>300Lux</w:t>
      </w:r>
      <w:r>
        <w:rPr>
          <w:rFonts w:hint="eastAsia" w:ascii="宋体" w:hAnsi="宋体"/>
          <w:sz w:val="24"/>
          <w:szCs w:val="24"/>
          <w:highlight w:val="none"/>
        </w:rPr>
        <w:t>。</w:t>
      </w:r>
    </w:p>
    <w:p>
      <w:pPr>
        <w:pStyle w:val="67"/>
        <w:numPr>
          <w:ilvl w:val="0"/>
          <w:numId w:val="10"/>
        </w:numPr>
        <w:ind w:firstLineChars="0"/>
        <w:rPr>
          <w:rFonts w:ascii="宋体" w:hAnsi="宋体"/>
          <w:sz w:val="24"/>
          <w:szCs w:val="24"/>
          <w:highlight w:val="none"/>
        </w:rPr>
      </w:pPr>
      <w:r>
        <w:rPr>
          <w:rFonts w:hint="eastAsia" w:ascii="宋体" w:hAnsi="宋体"/>
          <w:sz w:val="24"/>
          <w:szCs w:val="24"/>
          <w:highlight w:val="none"/>
        </w:rPr>
        <w:t>事故照明：照度在距地面</w:t>
      </w:r>
      <w:r>
        <w:rPr>
          <w:rFonts w:ascii="宋体" w:hAnsi="宋体"/>
          <w:sz w:val="24"/>
          <w:szCs w:val="24"/>
          <w:highlight w:val="none"/>
        </w:rPr>
        <w:t>0.8m</w:t>
      </w:r>
      <w:r>
        <w:rPr>
          <w:rFonts w:hint="eastAsia" w:ascii="宋体" w:hAnsi="宋体"/>
          <w:sz w:val="24"/>
          <w:szCs w:val="24"/>
          <w:highlight w:val="none"/>
        </w:rPr>
        <w:t>处不低于</w:t>
      </w:r>
      <w:r>
        <w:rPr>
          <w:rFonts w:ascii="宋体" w:hAnsi="宋体"/>
          <w:sz w:val="24"/>
          <w:szCs w:val="24"/>
          <w:highlight w:val="none"/>
        </w:rPr>
        <w:t>40Lux</w:t>
      </w:r>
      <w:r>
        <w:rPr>
          <w:rFonts w:hint="eastAsia" w:ascii="宋体" w:hAnsi="宋体"/>
          <w:sz w:val="24"/>
          <w:szCs w:val="24"/>
          <w:highlight w:val="none"/>
        </w:rPr>
        <w:t>。</w:t>
      </w:r>
    </w:p>
    <w:p>
      <w:pPr>
        <w:pStyle w:val="67"/>
        <w:numPr>
          <w:ilvl w:val="0"/>
          <w:numId w:val="10"/>
        </w:numPr>
        <w:ind w:firstLineChars="0"/>
        <w:rPr>
          <w:rFonts w:ascii="宋体" w:hAnsi="宋体"/>
          <w:sz w:val="24"/>
          <w:szCs w:val="24"/>
          <w:highlight w:val="none"/>
        </w:rPr>
      </w:pPr>
      <w:r>
        <w:rPr>
          <w:rFonts w:hint="eastAsia" w:ascii="宋体" w:hAnsi="宋体"/>
          <w:sz w:val="24"/>
          <w:szCs w:val="24"/>
          <w:highlight w:val="none"/>
        </w:rPr>
        <w:t>振动：停机条件下，主机房地板表面垂直及水平方向的振动加速度≤</w:t>
      </w:r>
      <w:r>
        <w:rPr>
          <w:rFonts w:ascii="宋体" w:hAnsi="宋体"/>
          <w:sz w:val="24"/>
          <w:szCs w:val="24"/>
          <w:highlight w:val="none"/>
        </w:rPr>
        <w:t>500mm/s2</w:t>
      </w:r>
      <w:r>
        <w:rPr>
          <w:rFonts w:hint="eastAsia" w:ascii="宋体" w:hAnsi="宋体"/>
          <w:sz w:val="24"/>
          <w:szCs w:val="24"/>
          <w:highlight w:val="none"/>
        </w:rPr>
        <w:t>。</w:t>
      </w:r>
    </w:p>
    <w:p>
      <w:pPr>
        <w:pStyle w:val="67"/>
        <w:numPr>
          <w:ilvl w:val="0"/>
          <w:numId w:val="10"/>
        </w:numPr>
        <w:ind w:firstLineChars="0"/>
        <w:rPr>
          <w:rFonts w:ascii="宋体" w:hAnsi="宋体"/>
          <w:sz w:val="24"/>
          <w:szCs w:val="24"/>
          <w:highlight w:val="none"/>
        </w:rPr>
      </w:pPr>
      <w:r>
        <w:rPr>
          <w:rFonts w:hint="eastAsia" w:ascii="宋体" w:hAnsi="宋体"/>
          <w:sz w:val="24"/>
          <w:szCs w:val="24"/>
          <w:highlight w:val="none"/>
        </w:rPr>
        <w:t>接地电阻：</w:t>
      </w:r>
    </w:p>
    <w:p>
      <w:pPr>
        <w:pStyle w:val="67"/>
        <w:ind w:firstLine="480"/>
        <w:rPr>
          <w:rFonts w:ascii="宋体" w:hAnsi="宋体"/>
          <w:sz w:val="24"/>
          <w:szCs w:val="24"/>
          <w:highlight w:val="none"/>
        </w:rPr>
      </w:pPr>
      <w:r>
        <w:rPr>
          <w:rFonts w:ascii="宋体" w:hAnsi="宋体" w:cs="Verdana"/>
          <w:sz w:val="24"/>
          <w:szCs w:val="24"/>
          <w:highlight w:val="none"/>
        </w:rPr>
        <w:t></w:t>
      </w:r>
      <w:r>
        <w:rPr>
          <w:rFonts w:ascii="宋体" w:hAnsi="宋体" w:cs="Verdana"/>
          <w:sz w:val="24"/>
          <w:szCs w:val="24"/>
          <w:highlight w:val="none"/>
        </w:rPr>
        <w:tab/>
      </w:r>
      <w:r>
        <w:rPr>
          <w:rFonts w:hint="eastAsia" w:ascii="宋体" w:hAnsi="宋体"/>
          <w:sz w:val="24"/>
          <w:szCs w:val="24"/>
          <w:highlight w:val="none"/>
        </w:rPr>
        <w:t>流工作地：</w:t>
      </w:r>
      <w:r>
        <w:rPr>
          <w:rFonts w:ascii="宋体" w:hAnsi="宋体"/>
          <w:sz w:val="24"/>
          <w:szCs w:val="24"/>
          <w:highlight w:val="none"/>
        </w:rPr>
        <w:t>R</w:t>
      </w:r>
      <w:r>
        <w:rPr>
          <w:rFonts w:hint="eastAsia" w:ascii="宋体" w:hAnsi="宋体"/>
          <w:sz w:val="24"/>
          <w:szCs w:val="24"/>
          <w:highlight w:val="none"/>
        </w:rPr>
        <w:t>≤</w:t>
      </w:r>
      <w:r>
        <w:rPr>
          <w:rFonts w:ascii="宋体" w:hAnsi="宋体"/>
          <w:sz w:val="24"/>
          <w:szCs w:val="24"/>
          <w:highlight w:val="none"/>
        </w:rPr>
        <w:t>4</w:t>
      </w:r>
      <w:r>
        <w:rPr>
          <w:rFonts w:hint="eastAsia" w:ascii="宋体" w:hAnsi="宋体"/>
          <w:sz w:val="24"/>
          <w:szCs w:val="24"/>
          <w:highlight w:val="none"/>
        </w:rPr>
        <w:t>欧姆</w:t>
      </w:r>
    </w:p>
    <w:p>
      <w:pPr>
        <w:pStyle w:val="67"/>
        <w:ind w:firstLine="480"/>
        <w:rPr>
          <w:rFonts w:ascii="宋体" w:hAnsi="宋体"/>
          <w:sz w:val="24"/>
          <w:szCs w:val="24"/>
          <w:highlight w:val="none"/>
        </w:rPr>
      </w:pPr>
      <w:r>
        <w:rPr>
          <w:rFonts w:ascii="宋体" w:hAnsi="宋体" w:cs="Verdana"/>
          <w:sz w:val="24"/>
          <w:szCs w:val="24"/>
          <w:highlight w:val="none"/>
        </w:rPr>
        <w:t></w:t>
      </w:r>
      <w:r>
        <w:rPr>
          <w:rFonts w:ascii="宋体" w:hAnsi="宋体" w:cs="Verdana"/>
          <w:sz w:val="24"/>
          <w:szCs w:val="24"/>
          <w:highlight w:val="none"/>
        </w:rPr>
        <w:tab/>
      </w:r>
      <w:r>
        <w:rPr>
          <w:rFonts w:hint="eastAsia" w:ascii="宋体" w:hAnsi="宋体"/>
          <w:sz w:val="24"/>
          <w:szCs w:val="24"/>
          <w:highlight w:val="none"/>
        </w:rPr>
        <w:t>安全保护地：</w:t>
      </w:r>
      <w:r>
        <w:rPr>
          <w:rFonts w:ascii="宋体" w:hAnsi="宋体"/>
          <w:sz w:val="24"/>
          <w:szCs w:val="24"/>
          <w:highlight w:val="none"/>
        </w:rPr>
        <w:t>R</w:t>
      </w:r>
      <w:r>
        <w:rPr>
          <w:rFonts w:hint="eastAsia" w:ascii="宋体" w:hAnsi="宋体"/>
          <w:sz w:val="24"/>
          <w:szCs w:val="24"/>
          <w:highlight w:val="none"/>
        </w:rPr>
        <w:t>≤</w:t>
      </w:r>
      <w:r>
        <w:rPr>
          <w:rFonts w:ascii="宋体" w:hAnsi="宋体"/>
          <w:sz w:val="24"/>
          <w:szCs w:val="24"/>
          <w:highlight w:val="none"/>
        </w:rPr>
        <w:t>4</w:t>
      </w:r>
      <w:r>
        <w:rPr>
          <w:rFonts w:hint="eastAsia" w:ascii="宋体" w:hAnsi="宋体"/>
          <w:sz w:val="24"/>
          <w:szCs w:val="24"/>
          <w:highlight w:val="none"/>
        </w:rPr>
        <w:t>欧姆</w:t>
      </w:r>
    </w:p>
    <w:p>
      <w:pPr>
        <w:pStyle w:val="67"/>
        <w:ind w:firstLine="480"/>
        <w:rPr>
          <w:rFonts w:ascii="宋体" w:hAnsi="宋体"/>
          <w:sz w:val="24"/>
          <w:szCs w:val="24"/>
          <w:highlight w:val="none"/>
        </w:rPr>
      </w:pPr>
      <w:r>
        <w:rPr>
          <w:rFonts w:ascii="宋体" w:hAnsi="宋体" w:cs="Verdana"/>
          <w:sz w:val="24"/>
          <w:szCs w:val="24"/>
          <w:highlight w:val="none"/>
        </w:rPr>
        <w:t></w:t>
      </w:r>
      <w:r>
        <w:rPr>
          <w:rFonts w:ascii="宋体" w:hAnsi="宋体" w:cs="Verdana"/>
          <w:sz w:val="24"/>
          <w:szCs w:val="24"/>
          <w:highlight w:val="none"/>
        </w:rPr>
        <w:tab/>
      </w:r>
      <w:r>
        <w:rPr>
          <w:rFonts w:hint="eastAsia" w:ascii="宋体" w:hAnsi="宋体"/>
          <w:sz w:val="24"/>
          <w:szCs w:val="24"/>
          <w:highlight w:val="none"/>
        </w:rPr>
        <w:t>直流工作地：接地电阻应按计算机系统具体要求确定</w:t>
      </w:r>
    </w:p>
    <w:p>
      <w:pPr>
        <w:pStyle w:val="67"/>
        <w:ind w:firstLine="480"/>
        <w:rPr>
          <w:rFonts w:ascii="宋体" w:hAnsi="宋体"/>
          <w:sz w:val="24"/>
          <w:szCs w:val="24"/>
          <w:highlight w:val="none"/>
        </w:rPr>
      </w:pPr>
      <w:r>
        <w:rPr>
          <w:rFonts w:ascii="宋体" w:hAnsi="宋体" w:cs="Verdana"/>
          <w:sz w:val="24"/>
          <w:szCs w:val="24"/>
          <w:highlight w:val="none"/>
        </w:rPr>
        <w:t></w:t>
      </w:r>
      <w:r>
        <w:rPr>
          <w:rFonts w:ascii="宋体" w:hAnsi="宋体" w:cs="Verdana"/>
          <w:sz w:val="24"/>
          <w:szCs w:val="24"/>
          <w:highlight w:val="none"/>
        </w:rPr>
        <w:tab/>
      </w:r>
      <w:r>
        <w:rPr>
          <w:rFonts w:hint="eastAsia" w:ascii="宋体" w:hAnsi="宋体"/>
          <w:sz w:val="24"/>
          <w:szCs w:val="24"/>
          <w:highlight w:val="none"/>
        </w:rPr>
        <w:t>防雷接地：</w:t>
      </w:r>
      <w:r>
        <w:rPr>
          <w:rFonts w:ascii="宋体" w:hAnsi="宋体"/>
          <w:sz w:val="24"/>
          <w:szCs w:val="24"/>
          <w:highlight w:val="none"/>
        </w:rPr>
        <w:t>R</w:t>
      </w:r>
      <w:r>
        <w:rPr>
          <w:rFonts w:hint="eastAsia" w:ascii="宋体" w:hAnsi="宋体"/>
          <w:sz w:val="24"/>
          <w:szCs w:val="24"/>
          <w:highlight w:val="none"/>
        </w:rPr>
        <w:t>≤</w:t>
      </w:r>
      <w:r>
        <w:rPr>
          <w:rFonts w:ascii="宋体" w:hAnsi="宋体"/>
          <w:sz w:val="24"/>
          <w:szCs w:val="24"/>
          <w:highlight w:val="none"/>
        </w:rPr>
        <w:t>10</w:t>
      </w:r>
      <w:r>
        <w:rPr>
          <w:rFonts w:hint="eastAsia" w:ascii="宋体" w:hAnsi="宋体"/>
          <w:sz w:val="24"/>
          <w:szCs w:val="24"/>
          <w:highlight w:val="none"/>
        </w:rPr>
        <w:t>欧</w:t>
      </w:r>
    </w:p>
    <w:p>
      <w:pPr>
        <w:pStyle w:val="67"/>
        <w:ind w:firstLine="480"/>
        <w:rPr>
          <w:rFonts w:hint="eastAsia"/>
          <w:color w:val="auto"/>
          <w:spacing w:val="0"/>
          <w:sz w:val="24"/>
          <w:szCs w:val="24"/>
          <w:highlight w:val="none"/>
          <w:lang w:val="en-US" w:eastAsia="zh-CN"/>
        </w:rPr>
      </w:pPr>
      <w:r>
        <w:rPr>
          <w:rFonts w:ascii="宋体" w:hAnsi="宋体" w:cs="Verdana"/>
          <w:sz w:val="24"/>
          <w:szCs w:val="24"/>
          <w:highlight w:val="none"/>
        </w:rPr>
        <w:t></w:t>
      </w:r>
      <w:r>
        <w:rPr>
          <w:rFonts w:ascii="宋体" w:hAnsi="宋体" w:cs="Verdana"/>
          <w:sz w:val="24"/>
          <w:szCs w:val="24"/>
          <w:highlight w:val="none"/>
        </w:rPr>
        <w:tab/>
      </w:r>
      <w:r>
        <w:rPr>
          <w:rFonts w:hint="eastAsia" w:ascii="宋体" w:hAnsi="宋体"/>
          <w:sz w:val="24"/>
          <w:szCs w:val="24"/>
          <w:highlight w:val="none"/>
        </w:rPr>
        <w:t>负荷分配：三相电流不平衡度≤</w:t>
      </w:r>
      <w:r>
        <w:rPr>
          <w:rFonts w:ascii="宋体" w:hAnsi="宋体"/>
          <w:sz w:val="24"/>
          <w:szCs w:val="24"/>
          <w:highlight w:val="none"/>
        </w:rPr>
        <w:t>20%</w:t>
      </w:r>
      <w:r>
        <w:rPr>
          <w:rFonts w:hint="eastAsia" w:ascii="宋体" w:hAnsi="宋体"/>
          <w:sz w:val="24"/>
          <w:szCs w:val="24"/>
          <w:highlight w:val="none"/>
        </w:rPr>
        <w:t>，三相电压不平衡度≤</w:t>
      </w:r>
      <w:r>
        <w:rPr>
          <w:rFonts w:ascii="宋体" w:hAnsi="宋体"/>
          <w:sz w:val="24"/>
          <w:szCs w:val="24"/>
          <w:highlight w:val="none"/>
        </w:rPr>
        <w:t>5%</w:t>
      </w:r>
    </w:p>
    <w:p>
      <w:pPr>
        <w:pStyle w:val="3"/>
        <w:bidi w:val="0"/>
        <w:ind w:left="482" w:leftChars="0" w:hanging="425" w:firstLineChars="0"/>
        <w:rPr>
          <w:rFonts w:hint="eastAsia"/>
          <w:highlight w:val="none"/>
          <w:lang w:val="en-US" w:eastAsia="zh-CN"/>
        </w:rPr>
      </w:pPr>
      <w:bookmarkStart w:id="41" w:name="_Toc22088"/>
      <w:r>
        <w:rPr>
          <w:rFonts w:hint="eastAsia"/>
          <w:highlight w:val="none"/>
          <w:lang w:val="en-US" w:eastAsia="zh-CN"/>
        </w:rPr>
        <w:t>场地规划</w:t>
      </w:r>
      <w:bookmarkEnd w:id="41"/>
    </w:p>
    <w:p>
      <w:pPr>
        <w:keepNext w:val="0"/>
        <w:keepLines w:val="0"/>
        <w:pageBreakBefore w:val="0"/>
        <w:widowControl w:val="0"/>
        <w:kinsoku/>
        <w:wordWrap/>
        <w:overflowPunct/>
        <w:topLinePunct w:val="0"/>
        <w:autoSpaceDE/>
        <w:autoSpaceDN/>
        <w:bidi w:val="0"/>
        <w:adjustRightInd/>
        <w:snapToGrid/>
        <w:spacing w:after="0" w:afterLines="0"/>
        <w:ind w:firstLine="720" w:firstLineChars="300"/>
        <w:textAlignment w:val="auto"/>
        <w:rPr>
          <w:rFonts w:hint="default"/>
          <w:sz w:val="21"/>
          <w:szCs w:val="21"/>
          <w:highlight w:val="none"/>
          <w:lang w:val="en-US" w:eastAsia="zh-CN"/>
        </w:rPr>
      </w:pPr>
      <w:r>
        <w:rPr>
          <w:rFonts w:hint="eastAsia"/>
          <w:sz w:val="24"/>
          <w:szCs w:val="24"/>
          <w:highlight w:val="none"/>
          <w:lang w:val="en-US" w:eastAsia="zh-CN"/>
        </w:rPr>
        <w:t>七号学生宿舍楼一层杂物间目前临时用于宿管和保洁人员存放物品的场所。杂物间长11.3米，宽8.1米，总面积约78平方。本次计划通过砖墙隔断，将房间分隔为学院安全管理中心的机房区和值班区。另外，该杂物间内有卫生间一处，面积约4平方，为了使机房区的利用面积最大化，本次计划将卫生间拆除填埋，铺设水泥层和防水层，并且将卫生间内的楼层汇集排水管进行包封并刷防水层。</w:t>
      </w:r>
    </w:p>
    <w:p>
      <w:pPr>
        <w:pStyle w:val="34"/>
        <w:keepNext w:val="0"/>
        <w:keepLines w:val="0"/>
        <w:pageBreakBefore w:val="0"/>
        <w:widowControl w:val="0"/>
        <w:kinsoku/>
        <w:wordWrap/>
        <w:overflowPunct/>
        <w:topLinePunct w:val="0"/>
        <w:autoSpaceDE/>
        <w:autoSpaceDN/>
        <w:bidi w:val="0"/>
        <w:adjustRightInd/>
        <w:snapToGrid/>
        <w:spacing w:after="36"/>
        <w:ind w:firstLine="0" w:firstLineChars="0"/>
        <w:jc w:val="center"/>
        <w:textAlignment w:val="auto"/>
        <w:rPr>
          <w:rFonts w:hint="eastAsia" w:eastAsia="宋体"/>
          <w:highlight w:val="none"/>
          <w:lang w:eastAsia="zh-CN"/>
        </w:rPr>
      </w:pPr>
      <w:r>
        <w:rPr>
          <w:rFonts w:hint="eastAsia" w:eastAsia="宋体"/>
          <w:highlight w:val="none"/>
          <w:lang w:eastAsia="zh-CN"/>
        </w:rPr>
        <w:drawing>
          <wp:inline distT="0" distB="0" distL="114300" distR="114300">
            <wp:extent cx="4401185" cy="6366510"/>
            <wp:effectExtent l="0" t="0" r="18415" b="15240"/>
            <wp:docPr id="33" name="图片 33" descr="C:/Users/jiyh/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C:/Users/jiyh/Desktop/图片1.png图片1"/>
                    <pic:cNvPicPr>
                      <a:picLocks noChangeAspect="1"/>
                    </pic:cNvPicPr>
                  </pic:nvPicPr>
                  <pic:blipFill>
                    <a:blip r:embed="rId24"/>
                    <a:srcRect l="4891" r="4891"/>
                    <a:stretch>
                      <a:fillRect/>
                    </a:stretch>
                  </pic:blipFill>
                  <pic:spPr>
                    <a:xfrm>
                      <a:off x="0" y="0"/>
                      <a:ext cx="4401185" cy="6366510"/>
                    </a:xfrm>
                    <a:prstGeom prst="rect">
                      <a:avLst/>
                    </a:prstGeom>
                  </pic:spPr>
                </pic:pic>
              </a:graphicData>
            </a:graphic>
          </wp:inline>
        </w:drawing>
      </w:r>
    </w:p>
    <w:p>
      <w:pPr>
        <w:ind w:left="0" w:leftChars="0" w:firstLine="0" w:firstLineChars="0"/>
        <w:jc w:val="center"/>
        <w:rPr>
          <w:rFonts w:hint="default"/>
          <w:color w:val="auto"/>
          <w:spacing w:val="0"/>
          <w:highlight w:val="none"/>
          <w:lang w:val="en-US" w:eastAsia="zh-CN"/>
        </w:rPr>
      </w:pPr>
      <w:r>
        <w:rPr>
          <w:rFonts w:hint="eastAsia" w:ascii="黑体" w:hAnsi="黑体" w:eastAsia="黑体" w:cs="黑体"/>
          <w:sz w:val="22"/>
          <w:szCs w:val="22"/>
          <w:highlight w:val="none"/>
          <w:u w:val="single"/>
          <w:lang w:val="en-US" w:eastAsia="zh-CN"/>
        </w:rPr>
        <w:t>图：杂物间尺寸平面图</w:t>
      </w:r>
    </w:p>
    <w:p>
      <w:pPr>
        <w:pStyle w:val="56"/>
        <w:keepNext w:val="0"/>
        <w:keepLines w:val="0"/>
        <w:pageBreakBefore w:val="0"/>
        <w:widowControl w:val="0"/>
        <w:kinsoku/>
        <w:wordWrap/>
        <w:overflowPunct/>
        <w:topLinePunct w:val="0"/>
        <w:autoSpaceDE/>
        <w:autoSpaceDN/>
        <w:bidi w:val="0"/>
        <w:adjustRightInd/>
        <w:snapToGrid/>
        <w:spacing w:before="156" w:after="156"/>
        <w:ind w:firstLine="480" w:firstLineChars="200"/>
        <w:jc w:val="both"/>
        <w:textAlignment w:val="auto"/>
        <w:rPr>
          <w:rFonts w:hint="eastAsia"/>
          <w:color w:val="auto"/>
          <w:spacing w:val="0"/>
          <w:highlight w:val="none"/>
          <w:lang w:val="en-US" w:eastAsia="zh-CN"/>
        </w:rPr>
      </w:pPr>
      <w:r>
        <w:rPr>
          <w:rFonts w:hint="eastAsia"/>
          <w:color w:val="auto"/>
          <w:spacing w:val="0"/>
          <w:highlight w:val="none"/>
          <w:lang w:val="en-US" w:eastAsia="zh-CN"/>
        </w:rPr>
        <w:t>改造后，安全管理中心（场地）总建设面积约78平方，包括了21.9平方的机房区和55.4平方的指挥/值班区。场地规划如下图：</w:t>
      </w:r>
    </w:p>
    <w:p>
      <w:pPr>
        <w:pStyle w:val="56"/>
        <w:spacing w:before="156" w:after="156"/>
        <w:ind w:firstLine="480" w:firstLineChars="200"/>
        <w:jc w:val="both"/>
        <w:rPr>
          <w:rFonts w:hint="default"/>
          <w:color w:val="auto"/>
          <w:spacing w:val="0"/>
          <w:highlight w:val="none"/>
          <w:lang w:val="en-US" w:eastAsia="zh-CN"/>
        </w:rPr>
      </w:pPr>
    </w:p>
    <w:p>
      <w:pPr>
        <w:pStyle w:val="56"/>
        <w:spacing w:before="156" w:after="156"/>
        <w:jc w:val="center"/>
        <w:rPr>
          <w:rFonts w:hint="eastAsia" w:ascii="黑体" w:hAnsi="黑体" w:eastAsia="黑体" w:cs="黑体"/>
          <w:color w:val="auto"/>
          <w:spacing w:val="0"/>
          <w:kern w:val="2"/>
          <w:sz w:val="22"/>
          <w:szCs w:val="22"/>
          <w:highlight w:val="none"/>
          <w:u w:val="none"/>
          <w:lang w:val="en-US" w:eastAsia="zh-CN" w:bidi="ar-SA"/>
        </w:rPr>
      </w:pPr>
      <w:r>
        <w:drawing>
          <wp:inline distT="0" distB="0" distL="114300" distR="114300">
            <wp:extent cx="5200015" cy="5766435"/>
            <wp:effectExtent l="0" t="0" r="635" b="571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5"/>
                    <a:stretch>
                      <a:fillRect/>
                    </a:stretch>
                  </pic:blipFill>
                  <pic:spPr>
                    <a:xfrm>
                      <a:off x="0" y="0"/>
                      <a:ext cx="5200015" cy="5766435"/>
                    </a:xfrm>
                    <a:prstGeom prst="rect">
                      <a:avLst/>
                    </a:prstGeom>
                    <a:noFill/>
                    <a:ln>
                      <a:noFill/>
                    </a:ln>
                  </pic:spPr>
                </pic:pic>
              </a:graphicData>
            </a:graphic>
          </wp:inline>
        </w:drawing>
      </w:r>
    </w:p>
    <w:p>
      <w:pPr>
        <w:pStyle w:val="56"/>
        <w:spacing w:before="156" w:after="156"/>
        <w:jc w:val="center"/>
        <w:rPr>
          <w:rFonts w:hint="eastAsia"/>
          <w:highlight w:val="none"/>
          <w:lang w:val="en-US" w:eastAsia="zh-CN"/>
        </w:rPr>
        <w:sectPr>
          <w:headerReference r:id="rId11" w:type="default"/>
          <w:footerReference r:id="rId12" w:type="default"/>
          <w:pgSz w:w="11906" w:h="16838"/>
          <w:pgMar w:top="1440" w:right="1797" w:bottom="1440" w:left="1797" w:header="851" w:footer="992" w:gutter="0"/>
          <w:pgNumType w:fmt="decimal" w:start="1"/>
          <w:cols w:space="0" w:num="1"/>
          <w:docGrid w:type="lines" w:linePitch="312" w:charSpace="0"/>
        </w:sectPr>
      </w:pPr>
      <w:r>
        <w:rPr>
          <w:rFonts w:hint="eastAsia" w:ascii="黑体" w:hAnsi="黑体" w:eastAsia="黑体" w:cs="黑体"/>
          <w:color w:val="auto"/>
          <w:spacing w:val="0"/>
          <w:kern w:val="2"/>
          <w:sz w:val="22"/>
          <w:szCs w:val="22"/>
          <w:highlight w:val="none"/>
          <w:u w:val="single"/>
          <w:lang w:val="en-US" w:eastAsia="zh-CN" w:bidi="ar-SA"/>
        </w:rPr>
        <w:t>安全管理中心规划平面图</w:t>
      </w:r>
    </w:p>
    <w:p>
      <w:pPr>
        <w:pStyle w:val="3"/>
        <w:bidi w:val="0"/>
        <w:ind w:left="482" w:leftChars="0" w:hanging="425" w:firstLineChars="0"/>
        <w:rPr>
          <w:rFonts w:hint="default"/>
          <w:highlight w:val="none"/>
          <w:lang w:val="en-US" w:eastAsia="zh-CN"/>
        </w:rPr>
      </w:pPr>
      <w:bookmarkStart w:id="42" w:name="_Toc695"/>
      <w:bookmarkStart w:id="43" w:name="_Toc13409"/>
      <w:r>
        <w:rPr>
          <w:rFonts w:hint="eastAsia"/>
          <w:highlight w:val="none"/>
          <w:lang w:val="en-US" w:eastAsia="zh-CN"/>
        </w:rPr>
        <w:t>大屏显示系统</w:t>
      </w:r>
      <w:bookmarkEnd w:id="42"/>
      <w:bookmarkEnd w:id="43"/>
    </w:p>
    <w:p>
      <w:pPr>
        <w:spacing w:before="120" w:after="120"/>
        <w:ind w:firstLine="480"/>
        <w:rPr>
          <w:rFonts w:hint="eastAsia" w:ascii="宋体" w:hAnsi="宋体" w:cs="宋体"/>
          <w:szCs w:val="20"/>
          <w:highlight w:val="none"/>
          <w:lang w:val="en-US" w:eastAsia="zh-CN"/>
        </w:rPr>
      </w:pPr>
      <w:r>
        <w:rPr>
          <w:rFonts w:hint="eastAsia" w:ascii="宋体" w:hAnsi="宋体" w:cs="宋体"/>
          <w:szCs w:val="20"/>
          <w:highlight w:val="none"/>
          <w:lang w:val="en-US" w:eastAsia="zh-CN"/>
        </w:rPr>
        <w:t>大屏显示系统包括视频拼接控制器及液晶拼接大屏等，拼接大屏设计根据客户现场监控中心情况，部署3行×5列的55寸液晶拼接屏，以便视频及PC桌面信号等，可实时观看视频及回放视频，包括报警实时视频弹出等。</w:t>
      </w:r>
    </w:p>
    <w:p>
      <w:pPr>
        <w:pStyle w:val="4"/>
        <w:bidi w:val="0"/>
        <w:ind w:left="482" w:leftChars="0" w:hanging="425" w:firstLineChars="0"/>
        <w:rPr>
          <w:rFonts w:hint="eastAsia"/>
          <w:highlight w:val="none"/>
          <w:lang w:val="en-US" w:eastAsia="zh-CN"/>
        </w:rPr>
      </w:pPr>
      <w:bookmarkStart w:id="44" w:name="_Toc22053"/>
      <w:r>
        <w:rPr>
          <w:rFonts w:hint="eastAsia"/>
          <w:highlight w:val="none"/>
          <w:lang w:val="en-US" w:eastAsia="zh-CN"/>
        </w:rPr>
        <w:t>视频拼接控制器</w:t>
      </w:r>
      <w:bookmarkEnd w:id="44"/>
    </w:p>
    <w:p>
      <w:pPr>
        <w:ind w:firstLine="480"/>
        <w:rPr>
          <w:rFonts w:cs="微软雅黑"/>
          <w:highlight w:val="none"/>
        </w:rPr>
      </w:pPr>
      <w:r>
        <w:rPr>
          <w:rFonts w:hint="eastAsia" w:cs="微软雅黑"/>
          <w:highlight w:val="none"/>
          <w:lang w:val="en-US" w:eastAsia="zh-CN" w:bidi="ar"/>
        </w:rPr>
        <w:t>视频</w:t>
      </w:r>
      <w:r>
        <w:rPr>
          <w:rFonts w:hint="eastAsia" w:cs="微软雅黑"/>
          <w:highlight w:val="none"/>
          <w:lang w:bidi="ar"/>
        </w:rPr>
        <w:t>拼接控制器实现了矩阵切换、业务应用、解码拼控等，实现IP前端、数字高清前端和混合前端等多种监控网络的接入，支持模拟及数字视频输入、模拟及数字矩阵切换、视频图像拼控管理、高清数字视频输出等功能，是一款集图像处理、网络功能、日志管理、用户和权限管理、设备维护于一体的视频综合处理交换平台</w:t>
      </w:r>
    </w:p>
    <w:p>
      <w:pPr>
        <w:ind w:firstLine="480"/>
        <w:rPr>
          <w:rFonts w:cs="微软雅黑"/>
          <w:highlight w:val="none"/>
        </w:rPr>
      </w:pPr>
      <w:r>
        <w:rPr>
          <w:rFonts w:hint="eastAsia" w:cs="微软雅黑"/>
          <w:highlight w:val="none"/>
          <w:lang w:val="en-US" w:eastAsia="zh-CN" w:bidi="ar"/>
        </w:rPr>
        <w:t>视频</w:t>
      </w:r>
      <w:r>
        <w:rPr>
          <w:rFonts w:hint="eastAsia" w:cs="微软雅黑"/>
          <w:highlight w:val="none"/>
          <w:lang w:bidi="ar"/>
        </w:rPr>
        <w:t>拼接控制器支持多种视频信号接入模式，支持模拟与数字视频矩阵切换功能，支持解码、大屏控制、图像拼接、融合、漫游功能；能与模拟矩阵系统无缝结合，组成功能强大的视频监控系统。</w:t>
      </w:r>
    </w:p>
    <w:p>
      <w:pPr>
        <w:pStyle w:val="65"/>
        <w:widowControl/>
        <w:numPr>
          <w:ilvl w:val="0"/>
          <w:numId w:val="11"/>
        </w:numPr>
        <w:ind w:left="851" w:firstLineChars="0"/>
        <w:rPr>
          <w:rFonts w:hint="eastAsia" w:ascii="宋体" w:hAnsi="宋体" w:eastAsia="宋体" w:cs="宋体"/>
          <w:b/>
          <w:szCs w:val="24"/>
          <w:highlight w:val="none"/>
        </w:rPr>
      </w:pPr>
      <w:r>
        <w:rPr>
          <w:rFonts w:hint="eastAsia" w:ascii="宋体" w:hAnsi="宋体" w:eastAsia="宋体" w:cs="宋体"/>
          <w:b/>
          <w:szCs w:val="24"/>
          <w:highlight w:val="none"/>
        </w:rPr>
        <w:t>模块机架式</w:t>
      </w:r>
    </w:p>
    <w:p>
      <w:pPr>
        <w:ind w:firstLine="480"/>
        <w:rPr>
          <w:rFonts w:hint="eastAsia" w:cs="微软雅黑"/>
          <w:highlight w:val="none"/>
          <w:lang w:val="en-US" w:eastAsia="zh-CN" w:bidi="ar"/>
        </w:rPr>
      </w:pPr>
      <w:r>
        <w:rPr>
          <w:rFonts w:hint="eastAsia" w:cs="微软雅黑"/>
          <w:highlight w:val="none"/>
          <w:lang w:val="en-US" w:eastAsia="zh-CN" w:bidi="ar"/>
        </w:rPr>
        <w:t xml:space="preserve">采用插拔式模块化、机架式设计，由主机箱、高速总线背板、主控板、智能温控风扇、冗余电源、视音频输入输出业务板等组成，用户可以根据实际功能要求灵活配置，也能满足未来功能扩展升级和系统改造的需要。 </w:t>
      </w:r>
    </w:p>
    <w:p>
      <w:pPr>
        <w:ind w:firstLine="480"/>
        <w:rPr>
          <w:rFonts w:hint="eastAsia" w:cs="微软雅黑"/>
          <w:highlight w:val="none"/>
          <w:lang w:val="en-US" w:eastAsia="zh-CN" w:bidi="ar"/>
        </w:rPr>
      </w:pPr>
      <w:r>
        <w:rPr>
          <w:rFonts w:hint="eastAsia" w:cs="微软雅黑"/>
          <w:highlight w:val="none"/>
          <w:lang w:val="en-US" w:eastAsia="zh-CN" w:bidi="ar"/>
        </w:rPr>
        <w:t>支持业务子板的热插拔，可以在大屏控制器正常工作时，对子板进行插拔操作，从而提高了大屏控制器的扩展性、灵活性以及对故障的及时恢复能力。</w:t>
      </w:r>
    </w:p>
    <w:p>
      <w:pPr>
        <w:pStyle w:val="65"/>
        <w:widowControl/>
        <w:numPr>
          <w:ilvl w:val="0"/>
          <w:numId w:val="11"/>
        </w:numPr>
        <w:ind w:left="851" w:firstLineChars="0"/>
        <w:rPr>
          <w:rFonts w:hint="eastAsia" w:ascii="宋体" w:hAnsi="宋体" w:eastAsia="宋体" w:cs="宋体"/>
          <w:b/>
          <w:szCs w:val="24"/>
          <w:highlight w:val="none"/>
        </w:rPr>
      </w:pPr>
      <w:r>
        <w:rPr>
          <w:rFonts w:hint="eastAsia" w:ascii="宋体" w:hAnsi="宋体" w:eastAsia="宋体" w:cs="宋体"/>
          <w:b/>
          <w:szCs w:val="24"/>
          <w:highlight w:val="none"/>
        </w:rPr>
        <w:t>独立双网口设计</w:t>
      </w:r>
    </w:p>
    <w:p>
      <w:pPr>
        <w:ind w:firstLine="480"/>
        <w:rPr>
          <w:rFonts w:hint="eastAsia" w:ascii="宋体" w:hAnsi="宋体" w:eastAsia="宋体" w:cs="宋体"/>
          <w:highlight w:val="none"/>
          <w:lang w:val="en-US" w:eastAsia="zh-CN" w:bidi="ar"/>
        </w:rPr>
      </w:pPr>
      <w:r>
        <w:rPr>
          <w:rFonts w:hint="eastAsia" w:ascii="宋体" w:hAnsi="宋体" w:eastAsia="宋体" w:cs="宋体"/>
          <w:highlight w:val="none"/>
          <w:lang w:val="en-US" w:eastAsia="zh-CN" w:bidi="ar"/>
        </w:rPr>
        <w:t>独特的双网口设计，能更好的适应各种网络环境，双网口可以实现多种应用模式：</w:t>
      </w:r>
    </w:p>
    <w:p>
      <w:pPr>
        <w:ind w:firstLine="480"/>
        <w:rPr>
          <w:rFonts w:hint="eastAsia" w:ascii="宋体" w:hAnsi="宋体" w:eastAsia="宋体" w:cs="宋体"/>
          <w:highlight w:val="none"/>
          <w:lang w:val="en-US" w:eastAsia="zh-CN" w:bidi="ar"/>
        </w:rPr>
      </w:pPr>
      <w:r>
        <w:rPr>
          <w:rFonts w:hint="eastAsia" w:ascii="宋体" w:hAnsi="宋体" w:eastAsia="宋体" w:cs="宋体"/>
          <w:highlight w:val="none"/>
          <w:lang w:val="en-US" w:eastAsia="zh-CN" w:bidi="ar"/>
        </w:rPr>
        <w:t>双网口绑定模式：两个网口设置为同一个IP地址，实现数据链路冗余，当其中一个链路失效，不影响数据传输。</w:t>
      </w:r>
    </w:p>
    <w:p>
      <w:pPr>
        <w:ind w:firstLine="480"/>
        <w:rPr>
          <w:rFonts w:hint="eastAsia" w:ascii="宋体" w:hAnsi="宋体" w:eastAsia="宋体" w:cs="宋体"/>
          <w:highlight w:val="none"/>
          <w:lang w:val="en-US" w:eastAsia="zh-CN" w:bidi="ar"/>
        </w:rPr>
      </w:pPr>
      <w:r>
        <w:rPr>
          <w:rFonts w:hint="eastAsia" w:ascii="宋体" w:hAnsi="宋体" w:eastAsia="宋体" w:cs="宋体"/>
          <w:highlight w:val="none"/>
          <w:lang w:val="en-US" w:eastAsia="zh-CN" w:bidi="ar"/>
        </w:rPr>
        <w:t>多址模式：两个网口设置成不同的地址，单独接入不同的网段，实现不同网段网络设备的集中接入，同时可以轻松实现内外网隔离，最大限度实现网络应用安全。</w:t>
      </w:r>
    </w:p>
    <w:p>
      <w:pPr>
        <w:pStyle w:val="65"/>
        <w:widowControl/>
        <w:numPr>
          <w:ilvl w:val="0"/>
          <w:numId w:val="11"/>
        </w:numPr>
        <w:ind w:left="851" w:firstLineChars="0"/>
        <w:rPr>
          <w:rFonts w:hint="eastAsia" w:ascii="宋体" w:hAnsi="宋体" w:eastAsia="宋体" w:cs="宋体"/>
          <w:b/>
          <w:szCs w:val="24"/>
          <w:highlight w:val="none"/>
        </w:rPr>
      </w:pPr>
      <w:r>
        <w:rPr>
          <w:rFonts w:hint="eastAsia" w:ascii="宋体" w:hAnsi="宋体" w:eastAsia="宋体" w:cs="宋体"/>
          <w:b/>
          <w:szCs w:val="24"/>
          <w:highlight w:val="none"/>
        </w:rPr>
        <w:t>1+1冗余电源设计</w:t>
      </w:r>
    </w:p>
    <w:p>
      <w:pPr>
        <w:ind w:firstLine="480"/>
        <w:rPr>
          <w:rFonts w:cs="微软雅黑"/>
          <w:highlight w:val="none"/>
        </w:rPr>
      </w:pPr>
      <w:r>
        <w:rPr>
          <w:rFonts w:hint="eastAsia" w:cs="微软雅黑"/>
          <w:highlight w:val="none"/>
          <w:lang w:bidi="ar"/>
        </w:rPr>
        <w:t>拼接控制器具备双冗余电源，当一块电源出现故障的时候，另一块电源能自动运行，确保设备正常运行，同时系统会自动报警提示故障信息，支持热插拔更换电源。</w:t>
      </w:r>
    </w:p>
    <w:p>
      <w:pPr>
        <w:pStyle w:val="65"/>
        <w:widowControl/>
        <w:numPr>
          <w:ilvl w:val="0"/>
          <w:numId w:val="11"/>
        </w:numPr>
        <w:ind w:left="851" w:firstLineChars="0"/>
        <w:rPr>
          <w:rFonts w:hint="eastAsia" w:ascii="宋体" w:hAnsi="宋体" w:eastAsia="宋体" w:cs="宋体"/>
          <w:b/>
          <w:szCs w:val="24"/>
          <w:highlight w:val="none"/>
        </w:rPr>
      </w:pPr>
      <w:r>
        <w:rPr>
          <w:rFonts w:hint="eastAsia" w:ascii="宋体" w:hAnsi="宋体" w:eastAsia="宋体" w:cs="宋体"/>
          <w:b/>
          <w:szCs w:val="24"/>
          <w:highlight w:val="none"/>
        </w:rPr>
        <w:t>丰富的信号接口</w:t>
      </w:r>
    </w:p>
    <w:p>
      <w:pPr>
        <w:ind w:firstLine="480"/>
        <w:rPr>
          <w:rFonts w:hint="eastAsia" w:ascii="宋体" w:hAnsi="宋体" w:eastAsia="宋体" w:cs="宋体"/>
          <w:highlight w:val="none"/>
        </w:rPr>
      </w:pPr>
      <w:r>
        <w:rPr>
          <w:rFonts w:hint="eastAsia" w:ascii="宋体" w:hAnsi="宋体" w:eastAsia="宋体" w:cs="宋体"/>
          <w:highlight w:val="none"/>
          <w:lang w:bidi="ar"/>
        </w:rPr>
        <w:t>拼接控制器支持VGA、DVI、CVBS、HDCVI、SDI，网络，超高分等多种信号源输入输出，实现各种信号的切换上墙显示，可以单独显示也可以混合显示。</w:t>
      </w:r>
    </w:p>
    <w:p>
      <w:pPr>
        <w:ind w:firstLine="480"/>
        <w:rPr>
          <w:rFonts w:hint="eastAsia" w:ascii="宋体" w:hAnsi="宋体" w:eastAsia="宋体" w:cs="宋体"/>
          <w:highlight w:val="none"/>
        </w:rPr>
      </w:pPr>
      <w:r>
        <w:rPr>
          <w:rFonts w:hint="eastAsia" w:ascii="宋体" w:hAnsi="宋体" w:eastAsia="宋体" w:cs="宋体"/>
          <w:highlight w:val="none"/>
          <w:lang w:bidi="ar"/>
        </w:rPr>
        <w:t>控制器主控板和控制板分离设计，从而大大提升设备的显控性能，比传统的单张控制板管控模式效率更加高：</w:t>
      </w:r>
    </w:p>
    <w:p>
      <w:pPr>
        <w:ind w:firstLine="480"/>
        <w:rPr>
          <w:rFonts w:hint="eastAsia" w:ascii="宋体" w:hAnsi="宋体" w:eastAsia="宋体" w:cs="宋体"/>
          <w:highlight w:val="none"/>
        </w:rPr>
      </w:pPr>
      <w:r>
        <w:rPr>
          <w:rFonts w:hint="eastAsia" w:ascii="宋体" w:hAnsi="宋体" w:eastAsia="宋体" w:cs="宋体"/>
          <w:highlight w:val="none"/>
          <w:lang w:bidi="ar"/>
        </w:rPr>
        <w:t xml:space="preserve">主控板单独负责管理功能，管理设备的所有业务板及实现所有的大屏控制功能，同时支持本地USB接入鼠标、键盘及VGA输出显示，提供本地UI操作界面，轻松实现本地管理及操作。 </w:t>
      </w:r>
    </w:p>
    <w:p>
      <w:pPr>
        <w:ind w:firstLine="480"/>
        <w:rPr>
          <w:rFonts w:hint="eastAsia" w:ascii="宋体" w:hAnsi="宋体" w:eastAsia="宋体" w:cs="宋体"/>
          <w:highlight w:val="none"/>
          <w:lang w:bidi="ar"/>
        </w:rPr>
      </w:pPr>
      <w:r>
        <w:rPr>
          <w:rFonts w:hint="eastAsia" w:ascii="宋体" w:hAnsi="宋体" w:eastAsia="宋体" w:cs="宋体"/>
          <w:highlight w:val="none"/>
          <w:lang w:bidi="ar"/>
        </w:rPr>
        <w:t>控制板提供外围设备的控制接口，例如RS232，RS485串行接口。</w:t>
      </w:r>
    </w:p>
    <w:p>
      <w:pPr>
        <w:pStyle w:val="4"/>
        <w:bidi w:val="0"/>
        <w:ind w:left="482" w:leftChars="0" w:hanging="425" w:firstLineChars="0"/>
        <w:rPr>
          <w:rFonts w:hint="eastAsia"/>
          <w:highlight w:val="none"/>
          <w:lang w:val="en-US" w:eastAsia="zh-CN"/>
        </w:rPr>
      </w:pPr>
      <w:bookmarkStart w:id="45" w:name="_Toc32543"/>
      <w:r>
        <w:rPr>
          <w:rFonts w:hint="eastAsia"/>
          <w:highlight w:val="none"/>
          <w:lang w:val="en-US" w:eastAsia="zh-CN"/>
        </w:rPr>
        <w:t>显示模式</w:t>
      </w:r>
      <w:bookmarkEnd w:id="45"/>
    </w:p>
    <w:p>
      <w:pPr>
        <w:pStyle w:val="65"/>
        <w:widowControl/>
        <w:numPr>
          <w:ilvl w:val="0"/>
          <w:numId w:val="11"/>
        </w:numPr>
        <w:ind w:left="851" w:firstLineChars="0"/>
        <w:rPr>
          <w:rFonts w:hint="eastAsia" w:ascii="宋体" w:hAnsi="宋体" w:eastAsia="宋体" w:cs="宋体"/>
          <w:b/>
          <w:szCs w:val="24"/>
          <w:highlight w:val="none"/>
        </w:rPr>
      </w:pPr>
      <w:r>
        <w:rPr>
          <w:rFonts w:hint="eastAsia" w:ascii="宋体" w:hAnsi="宋体" w:eastAsia="宋体" w:cs="宋体"/>
          <w:b/>
          <w:szCs w:val="24"/>
          <w:highlight w:val="none"/>
        </w:rPr>
        <w:t>单屏显示</w:t>
      </w:r>
    </w:p>
    <w:p>
      <w:pPr>
        <w:ind w:left="178" w:firstLine="480"/>
        <w:rPr>
          <w:rFonts w:cs="微软雅黑"/>
          <w:highlight w:val="none"/>
        </w:rPr>
      </w:pPr>
      <w:r>
        <w:rPr>
          <w:rFonts w:hint="eastAsia" w:cs="微软雅黑"/>
          <w:highlight w:val="none"/>
          <w:lang w:bidi="ar"/>
        </w:rPr>
        <w:t>组合大屏的每个单元单独显示一路视频画面，每个单元的视频信号可以任意切换。</w:t>
      </w:r>
    </w:p>
    <w:p>
      <w:pPr>
        <w:tabs>
          <w:tab w:val="left" w:pos="1080"/>
        </w:tabs>
        <w:ind w:firstLine="0" w:firstLineChars="0"/>
        <w:jc w:val="center"/>
        <w:rPr>
          <w:rFonts w:cs="微软雅黑"/>
          <w:color w:val="000000"/>
          <w:highlight w:val="none"/>
        </w:rPr>
      </w:pPr>
      <w:r>
        <w:rPr>
          <w:rFonts w:hint="eastAsia" w:cs="Arial"/>
          <w:color w:val="000000"/>
          <w:highlight w:val="none"/>
        </w:rPr>
        <w:drawing>
          <wp:inline distT="0" distB="0" distL="114300" distR="114300">
            <wp:extent cx="5088255" cy="2668905"/>
            <wp:effectExtent l="0" t="0" r="17145" b="17145"/>
            <wp:docPr id="24" name="图片 2" descr="单屏显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descr="单屏显示"/>
                    <pic:cNvPicPr>
                      <a:picLocks noChangeAspect="1"/>
                    </pic:cNvPicPr>
                  </pic:nvPicPr>
                  <pic:blipFill>
                    <a:blip r:embed="rId26"/>
                    <a:stretch>
                      <a:fillRect/>
                    </a:stretch>
                  </pic:blipFill>
                  <pic:spPr>
                    <a:xfrm>
                      <a:off x="0" y="0"/>
                      <a:ext cx="5088255" cy="2668905"/>
                    </a:xfrm>
                    <a:prstGeom prst="rect">
                      <a:avLst/>
                    </a:prstGeom>
                    <a:noFill/>
                    <a:ln>
                      <a:noFill/>
                    </a:ln>
                  </pic:spPr>
                </pic:pic>
              </a:graphicData>
            </a:graphic>
          </wp:inline>
        </w:drawing>
      </w:r>
    </w:p>
    <w:p>
      <w:pPr>
        <w:ind w:left="0" w:leftChars="0" w:firstLine="0" w:firstLineChars="0"/>
        <w:jc w:val="center"/>
        <w:rPr>
          <w:rFonts w:hint="eastAsia" w:ascii="黑体" w:hAnsi="黑体" w:eastAsia="黑体" w:cs="黑体"/>
          <w:sz w:val="22"/>
          <w:szCs w:val="22"/>
          <w:highlight w:val="none"/>
          <w:u w:val="single"/>
          <w:lang w:val="en-US" w:eastAsia="zh-CN"/>
        </w:rPr>
      </w:pPr>
      <w:r>
        <w:rPr>
          <w:rFonts w:hint="eastAsia" w:ascii="黑体" w:hAnsi="黑体" w:eastAsia="黑体" w:cs="黑体"/>
          <w:sz w:val="22"/>
          <w:szCs w:val="22"/>
          <w:highlight w:val="none"/>
          <w:u w:val="single"/>
          <w:lang w:val="en-US" w:eastAsia="zh-CN"/>
        </w:rPr>
        <w:t>图：单屏显示</w:t>
      </w:r>
    </w:p>
    <w:p>
      <w:pPr>
        <w:pStyle w:val="65"/>
        <w:keepNext w:val="0"/>
        <w:keepLines w:val="0"/>
        <w:pageBreakBefore/>
        <w:widowControl/>
        <w:numPr>
          <w:ilvl w:val="0"/>
          <w:numId w:val="11"/>
        </w:numPr>
        <w:kinsoku/>
        <w:wordWrap/>
        <w:overflowPunct/>
        <w:topLinePunct w:val="0"/>
        <w:autoSpaceDE/>
        <w:autoSpaceDN/>
        <w:bidi w:val="0"/>
        <w:adjustRightInd/>
        <w:snapToGrid/>
        <w:ind w:left="850" w:hanging="420" w:firstLineChars="0"/>
        <w:textAlignment w:val="auto"/>
        <w:rPr>
          <w:rFonts w:hint="eastAsia" w:ascii="宋体" w:hAnsi="宋体" w:eastAsia="宋体" w:cs="宋体"/>
          <w:b/>
          <w:szCs w:val="24"/>
          <w:highlight w:val="none"/>
        </w:rPr>
      </w:pPr>
      <w:r>
        <w:rPr>
          <w:rFonts w:hint="eastAsia" w:ascii="宋体" w:hAnsi="宋体" w:eastAsia="宋体" w:cs="宋体"/>
          <w:b/>
          <w:szCs w:val="24"/>
          <w:highlight w:val="none"/>
        </w:rPr>
        <w:t>整屏显示</w:t>
      </w:r>
    </w:p>
    <w:p>
      <w:pPr>
        <w:ind w:left="178" w:firstLine="480"/>
        <w:rPr>
          <w:rFonts w:cs="微软雅黑"/>
          <w:highlight w:val="none"/>
        </w:rPr>
      </w:pPr>
      <w:r>
        <w:rPr>
          <w:rFonts w:hint="eastAsia" w:cs="微软雅黑"/>
          <w:highlight w:val="none"/>
          <w:lang w:bidi="ar"/>
        </w:rPr>
        <w:t>整个大屏显示一路完整的视频图像，显示的图像可以是复合视频（PAL或NTSC）、VGA、S-Video、Ypbpr/YCbCr、DVI、HDCVI等。</w:t>
      </w:r>
    </w:p>
    <w:p>
      <w:pPr>
        <w:ind w:firstLine="0" w:firstLineChars="0"/>
        <w:jc w:val="center"/>
        <w:rPr>
          <w:rFonts w:cs="微软雅黑"/>
          <w:highlight w:val="none"/>
        </w:rPr>
      </w:pPr>
      <w:r>
        <w:rPr>
          <w:rFonts w:hint="eastAsia" w:cs="微软雅黑"/>
          <w:color w:val="000000"/>
          <w:kern w:val="0"/>
          <w:highlight w:val="none"/>
        </w:rPr>
        <w:drawing>
          <wp:inline distT="0" distB="0" distL="114300" distR="114300">
            <wp:extent cx="4972050" cy="2733675"/>
            <wp:effectExtent l="0" t="0" r="0" b="9525"/>
            <wp:docPr id="25" name="图片 3" descr="整屏显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descr="整屏显示1"/>
                    <pic:cNvPicPr>
                      <a:picLocks noChangeAspect="1"/>
                    </pic:cNvPicPr>
                  </pic:nvPicPr>
                  <pic:blipFill>
                    <a:blip r:embed="rId27"/>
                    <a:stretch>
                      <a:fillRect/>
                    </a:stretch>
                  </pic:blipFill>
                  <pic:spPr>
                    <a:xfrm>
                      <a:off x="0" y="0"/>
                      <a:ext cx="4972050" cy="2733675"/>
                    </a:xfrm>
                    <a:prstGeom prst="rect">
                      <a:avLst/>
                    </a:prstGeom>
                    <a:noFill/>
                    <a:ln>
                      <a:noFill/>
                    </a:ln>
                  </pic:spPr>
                </pic:pic>
              </a:graphicData>
            </a:graphic>
          </wp:inline>
        </w:drawing>
      </w:r>
    </w:p>
    <w:p>
      <w:pPr>
        <w:ind w:left="0" w:leftChars="0" w:firstLine="0" w:firstLineChars="0"/>
        <w:jc w:val="center"/>
        <w:rPr>
          <w:rFonts w:hint="eastAsia" w:ascii="黑体" w:hAnsi="黑体" w:eastAsia="黑体" w:cs="黑体"/>
          <w:sz w:val="22"/>
          <w:szCs w:val="22"/>
          <w:highlight w:val="none"/>
          <w:u w:val="single"/>
          <w:lang w:val="en-US" w:eastAsia="zh-CN"/>
        </w:rPr>
      </w:pPr>
      <w:r>
        <w:rPr>
          <w:rFonts w:hint="eastAsia" w:ascii="黑体" w:hAnsi="黑体" w:eastAsia="黑体" w:cs="黑体"/>
          <w:sz w:val="22"/>
          <w:szCs w:val="22"/>
          <w:highlight w:val="none"/>
          <w:u w:val="single"/>
          <w:lang w:val="en-US" w:eastAsia="zh-CN"/>
        </w:rPr>
        <w:t>图：整屏显示</w:t>
      </w:r>
    </w:p>
    <w:p>
      <w:pPr>
        <w:pStyle w:val="34"/>
        <w:rPr>
          <w:rFonts w:hint="eastAsia"/>
          <w:highlight w:val="none"/>
          <w:lang w:val="en-US" w:eastAsia="zh-CN"/>
        </w:rPr>
      </w:pPr>
    </w:p>
    <w:p>
      <w:pPr>
        <w:pStyle w:val="65"/>
        <w:widowControl/>
        <w:numPr>
          <w:ilvl w:val="0"/>
          <w:numId w:val="11"/>
        </w:numPr>
        <w:ind w:left="851" w:firstLineChars="0"/>
        <w:rPr>
          <w:rFonts w:hint="eastAsia" w:ascii="宋体" w:hAnsi="宋体" w:eastAsia="宋体" w:cs="宋体"/>
          <w:b/>
          <w:szCs w:val="24"/>
          <w:highlight w:val="none"/>
        </w:rPr>
      </w:pPr>
      <w:r>
        <w:rPr>
          <w:rFonts w:hint="eastAsia" w:ascii="宋体" w:hAnsi="宋体" w:eastAsia="宋体" w:cs="宋体"/>
          <w:b/>
          <w:szCs w:val="24"/>
          <w:highlight w:val="none"/>
        </w:rPr>
        <w:t>任意分割显示</w:t>
      </w:r>
    </w:p>
    <w:p>
      <w:pPr>
        <w:ind w:left="178" w:firstLine="480"/>
        <w:rPr>
          <w:rFonts w:cs="微软雅黑"/>
          <w:highlight w:val="none"/>
        </w:rPr>
      </w:pPr>
      <w:r>
        <w:rPr>
          <w:rFonts w:hint="eastAsia" w:cs="微软雅黑"/>
          <w:highlight w:val="none"/>
          <w:lang w:bidi="ar"/>
        </w:rPr>
        <w:t>以一个屏为单元可任意1、4、9、16、32路画面分割显示。</w:t>
      </w:r>
    </w:p>
    <w:p>
      <w:pPr>
        <w:ind w:firstLine="0" w:firstLineChars="0"/>
        <w:jc w:val="center"/>
        <w:rPr>
          <w:rFonts w:cs="微软雅黑"/>
          <w:highlight w:val="none"/>
        </w:rPr>
      </w:pPr>
      <w:r>
        <w:rPr>
          <w:rFonts w:hint="eastAsia" w:cs="微软雅黑"/>
          <w:color w:val="000000"/>
          <w:kern w:val="0"/>
          <w:highlight w:val="none"/>
        </w:rPr>
        <w:drawing>
          <wp:inline distT="0" distB="0" distL="114300" distR="114300">
            <wp:extent cx="5172075" cy="2733675"/>
            <wp:effectExtent l="0" t="0" r="9525" b="9525"/>
            <wp:docPr id="26" name="图片 4" descr="任意分割显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 descr="任意分割显示1"/>
                    <pic:cNvPicPr>
                      <a:picLocks noChangeAspect="1"/>
                    </pic:cNvPicPr>
                  </pic:nvPicPr>
                  <pic:blipFill>
                    <a:blip r:embed="rId28"/>
                    <a:stretch>
                      <a:fillRect/>
                    </a:stretch>
                  </pic:blipFill>
                  <pic:spPr>
                    <a:xfrm>
                      <a:off x="0" y="0"/>
                      <a:ext cx="5172075" cy="2733675"/>
                    </a:xfrm>
                    <a:prstGeom prst="rect">
                      <a:avLst/>
                    </a:prstGeom>
                    <a:noFill/>
                    <a:ln>
                      <a:noFill/>
                    </a:ln>
                  </pic:spPr>
                </pic:pic>
              </a:graphicData>
            </a:graphic>
          </wp:inline>
        </w:drawing>
      </w:r>
    </w:p>
    <w:p>
      <w:pPr>
        <w:ind w:left="0" w:leftChars="0" w:firstLine="0" w:firstLineChars="0"/>
        <w:jc w:val="center"/>
        <w:rPr>
          <w:rFonts w:hint="eastAsia" w:ascii="黑体" w:hAnsi="黑体" w:eastAsia="黑体" w:cs="黑体"/>
          <w:sz w:val="22"/>
          <w:szCs w:val="22"/>
          <w:highlight w:val="none"/>
          <w:u w:val="single"/>
          <w:lang w:val="en-US" w:eastAsia="zh-CN"/>
        </w:rPr>
      </w:pPr>
      <w:r>
        <w:rPr>
          <w:rFonts w:hint="eastAsia" w:ascii="黑体" w:hAnsi="黑体" w:eastAsia="黑体" w:cs="黑体"/>
          <w:sz w:val="22"/>
          <w:szCs w:val="22"/>
          <w:highlight w:val="none"/>
          <w:u w:val="single"/>
          <w:lang w:val="en-US" w:eastAsia="zh-CN"/>
        </w:rPr>
        <w:t>图：任意分割显示</w:t>
      </w:r>
    </w:p>
    <w:p>
      <w:pPr>
        <w:pStyle w:val="65"/>
        <w:keepNext w:val="0"/>
        <w:keepLines w:val="0"/>
        <w:pageBreakBefore/>
        <w:widowControl/>
        <w:numPr>
          <w:ilvl w:val="0"/>
          <w:numId w:val="11"/>
        </w:numPr>
        <w:kinsoku/>
        <w:wordWrap/>
        <w:overflowPunct/>
        <w:topLinePunct w:val="0"/>
        <w:autoSpaceDE/>
        <w:autoSpaceDN/>
        <w:bidi w:val="0"/>
        <w:adjustRightInd/>
        <w:snapToGrid/>
        <w:ind w:left="850" w:hanging="420" w:firstLineChars="0"/>
        <w:textAlignment w:val="auto"/>
        <w:rPr>
          <w:rFonts w:hint="eastAsia" w:ascii="宋体" w:hAnsi="宋体" w:eastAsia="宋体" w:cs="宋体"/>
          <w:b/>
          <w:szCs w:val="24"/>
          <w:highlight w:val="none"/>
        </w:rPr>
      </w:pPr>
      <w:r>
        <w:rPr>
          <w:rFonts w:hint="eastAsia" w:ascii="宋体" w:hAnsi="宋体" w:eastAsia="宋体" w:cs="宋体"/>
          <w:b/>
          <w:szCs w:val="24"/>
          <w:highlight w:val="none"/>
        </w:rPr>
        <w:t>叠加显示</w:t>
      </w:r>
    </w:p>
    <w:p>
      <w:pPr>
        <w:ind w:left="178" w:firstLine="480"/>
        <w:rPr>
          <w:rFonts w:cs="微软雅黑"/>
          <w:highlight w:val="none"/>
        </w:rPr>
      </w:pPr>
      <w:r>
        <w:rPr>
          <w:rFonts w:hint="eastAsia" w:cs="微软雅黑"/>
          <w:highlight w:val="none"/>
          <w:lang w:bidi="ar"/>
        </w:rPr>
        <w:t>可以将任意一个或者多个信号叠加到其他信号之上显示。</w:t>
      </w:r>
    </w:p>
    <w:p>
      <w:pPr>
        <w:tabs>
          <w:tab w:val="left" w:pos="1080"/>
        </w:tabs>
        <w:ind w:firstLine="0" w:firstLineChars="0"/>
        <w:jc w:val="center"/>
        <w:rPr>
          <w:rFonts w:cs="微软雅黑"/>
          <w:color w:val="000000"/>
          <w:highlight w:val="none"/>
        </w:rPr>
      </w:pPr>
      <w:r>
        <w:rPr>
          <w:rFonts w:hint="eastAsia" w:cs="微软雅黑"/>
          <w:color w:val="000000"/>
          <w:highlight w:val="none"/>
        </w:rPr>
        <w:drawing>
          <wp:inline distT="0" distB="0" distL="114300" distR="114300">
            <wp:extent cx="5286375" cy="2724150"/>
            <wp:effectExtent l="0" t="0" r="9525" b="0"/>
            <wp:docPr id="27" name="图片 5" descr="叠加显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descr="叠加显示1"/>
                    <pic:cNvPicPr>
                      <a:picLocks noChangeAspect="1"/>
                    </pic:cNvPicPr>
                  </pic:nvPicPr>
                  <pic:blipFill>
                    <a:blip r:embed="rId29"/>
                    <a:stretch>
                      <a:fillRect/>
                    </a:stretch>
                  </pic:blipFill>
                  <pic:spPr>
                    <a:xfrm>
                      <a:off x="0" y="0"/>
                      <a:ext cx="5286375" cy="2724150"/>
                    </a:xfrm>
                    <a:prstGeom prst="rect">
                      <a:avLst/>
                    </a:prstGeom>
                    <a:noFill/>
                    <a:ln>
                      <a:noFill/>
                    </a:ln>
                  </pic:spPr>
                </pic:pic>
              </a:graphicData>
            </a:graphic>
          </wp:inline>
        </w:drawing>
      </w:r>
    </w:p>
    <w:p>
      <w:pPr>
        <w:ind w:left="0" w:leftChars="0" w:firstLine="0" w:firstLineChars="0"/>
        <w:jc w:val="center"/>
        <w:rPr>
          <w:rFonts w:hint="eastAsia" w:ascii="黑体" w:hAnsi="黑体" w:eastAsia="黑体" w:cs="黑体"/>
          <w:sz w:val="22"/>
          <w:szCs w:val="22"/>
          <w:highlight w:val="none"/>
          <w:u w:val="single"/>
          <w:lang w:val="en-US" w:eastAsia="zh-CN"/>
        </w:rPr>
      </w:pPr>
      <w:r>
        <w:rPr>
          <w:rFonts w:hint="eastAsia" w:ascii="黑体" w:hAnsi="黑体" w:eastAsia="黑体" w:cs="黑体"/>
          <w:sz w:val="22"/>
          <w:szCs w:val="22"/>
          <w:highlight w:val="none"/>
          <w:u w:val="single"/>
          <w:lang w:val="en-US" w:eastAsia="zh-CN"/>
        </w:rPr>
        <w:t>图：叠加显示</w:t>
      </w:r>
    </w:p>
    <w:p>
      <w:pPr>
        <w:pStyle w:val="34"/>
        <w:rPr>
          <w:rFonts w:hint="eastAsia"/>
          <w:highlight w:val="none"/>
          <w:lang w:val="en-US" w:eastAsia="zh-CN"/>
        </w:rPr>
      </w:pPr>
    </w:p>
    <w:p>
      <w:pPr>
        <w:pStyle w:val="65"/>
        <w:widowControl/>
        <w:numPr>
          <w:ilvl w:val="0"/>
          <w:numId w:val="11"/>
        </w:numPr>
        <w:ind w:left="851" w:firstLineChars="0"/>
        <w:rPr>
          <w:rFonts w:hint="eastAsia" w:ascii="宋体" w:hAnsi="宋体" w:eastAsia="宋体" w:cs="宋体"/>
          <w:b/>
          <w:szCs w:val="24"/>
          <w:highlight w:val="none"/>
        </w:rPr>
      </w:pPr>
      <w:r>
        <w:rPr>
          <w:rFonts w:hint="eastAsia" w:ascii="宋体" w:hAnsi="宋体" w:eastAsia="宋体" w:cs="宋体"/>
          <w:b/>
          <w:szCs w:val="24"/>
          <w:highlight w:val="none"/>
        </w:rPr>
        <w:t>任意组合显示</w:t>
      </w:r>
    </w:p>
    <w:p>
      <w:pPr>
        <w:ind w:left="178" w:firstLine="480"/>
        <w:rPr>
          <w:rFonts w:cs="微软雅黑"/>
          <w:highlight w:val="none"/>
        </w:rPr>
      </w:pPr>
      <w:r>
        <w:rPr>
          <w:rFonts w:hint="eastAsia" w:cs="微软雅黑"/>
          <w:highlight w:val="none"/>
          <w:lang w:bidi="ar"/>
        </w:rPr>
        <w:t>可以任意几个大屏组合显示一路画面。</w:t>
      </w:r>
    </w:p>
    <w:p>
      <w:pPr>
        <w:pStyle w:val="66"/>
        <w:widowControl/>
        <w:ind w:firstLine="0" w:firstLineChars="0"/>
        <w:jc w:val="center"/>
        <w:rPr>
          <w:rFonts w:hint="default" w:ascii="微软雅黑" w:hAnsi="微软雅黑" w:eastAsia="微软雅黑" w:cs="微软雅黑"/>
          <w:color w:val="000000"/>
          <w:sz w:val="24"/>
          <w:szCs w:val="24"/>
          <w:highlight w:val="none"/>
        </w:rPr>
      </w:pPr>
      <w:r>
        <w:rPr>
          <w:rFonts w:ascii="微软雅黑" w:hAnsi="微软雅黑" w:eastAsia="微软雅黑" w:cs="微软雅黑"/>
          <w:color w:val="000000"/>
          <w:sz w:val="24"/>
          <w:szCs w:val="24"/>
          <w:highlight w:val="none"/>
        </w:rPr>
        <w:drawing>
          <wp:inline distT="0" distB="0" distL="114300" distR="114300">
            <wp:extent cx="5229225" cy="2724150"/>
            <wp:effectExtent l="0" t="0" r="9525" b="0"/>
            <wp:docPr id="15" name="图片 6" descr="任意组合显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descr="任意组合显示"/>
                    <pic:cNvPicPr>
                      <a:picLocks noChangeAspect="1"/>
                    </pic:cNvPicPr>
                  </pic:nvPicPr>
                  <pic:blipFill>
                    <a:blip r:embed="rId30"/>
                    <a:stretch>
                      <a:fillRect/>
                    </a:stretch>
                  </pic:blipFill>
                  <pic:spPr>
                    <a:xfrm>
                      <a:off x="0" y="0"/>
                      <a:ext cx="5229225" cy="2724150"/>
                    </a:xfrm>
                    <a:prstGeom prst="rect">
                      <a:avLst/>
                    </a:prstGeom>
                    <a:noFill/>
                    <a:ln>
                      <a:noFill/>
                    </a:ln>
                  </pic:spPr>
                </pic:pic>
              </a:graphicData>
            </a:graphic>
          </wp:inline>
        </w:drawing>
      </w:r>
    </w:p>
    <w:p>
      <w:pPr>
        <w:ind w:left="0" w:leftChars="0" w:firstLine="0" w:firstLineChars="0"/>
        <w:jc w:val="center"/>
        <w:rPr>
          <w:rFonts w:hint="eastAsia" w:ascii="黑体" w:hAnsi="黑体" w:eastAsia="黑体" w:cs="黑体"/>
          <w:sz w:val="22"/>
          <w:szCs w:val="22"/>
          <w:highlight w:val="none"/>
          <w:u w:val="single"/>
          <w:lang w:val="en-US" w:eastAsia="zh-CN"/>
        </w:rPr>
      </w:pPr>
      <w:r>
        <w:rPr>
          <w:rFonts w:hint="eastAsia" w:ascii="黑体" w:hAnsi="黑体" w:eastAsia="黑体" w:cs="黑体"/>
          <w:sz w:val="22"/>
          <w:szCs w:val="22"/>
          <w:highlight w:val="none"/>
          <w:u w:val="single"/>
          <w:lang w:val="en-US" w:eastAsia="zh-CN"/>
        </w:rPr>
        <w:t>图：任意组合显示</w:t>
      </w:r>
    </w:p>
    <w:p>
      <w:pPr>
        <w:pStyle w:val="65"/>
        <w:keepNext w:val="0"/>
        <w:keepLines w:val="0"/>
        <w:pageBreakBefore/>
        <w:widowControl/>
        <w:numPr>
          <w:ilvl w:val="0"/>
          <w:numId w:val="11"/>
        </w:numPr>
        <w:kinsoku/>
        <w:wordWrap/>
        <w:overflowPunct/>
        <w:topLinePunct w:val="0"/>
        <w:autoSpaceDE/>
        <w:autoSpaceDN/>
        <w:bidi w:val="0"/>
        <w:adjustRightInd/>
        <w:snapToGrid/>
        <w:ind w:left="850" w:hanging="420" w:firstLineChars="0"/>
        <w:textAlignment w:val="auto"/>
        <w:rPr>
          <w:rFonts w:hint="eastAsia" w:ascii="宋体" w:hAnsi="宋体" w:eastAsia="宋体" w:cs="宋体"/>
          <w:b/>
          <w:szCs w:val="24"/>
          <w:highlight w:val="none"/>
        </w:rPr>
      </w:pPr>
      <w:r>
        <w:rPr>
          <w:rFonts w:hint="eastAsia" w:ascii="宋体" w:hAnsi="宋体" w:eastAsia="宋体" w:cs="宋体"/>
          <w:b/>
          <w:szCs w:val="24"/>
          <w:highlight w:val="none"/>
        </w:rPr>
        <w:t>图像漫游</w:t>
      </w:r>
    </w:p>
    <w:p>
      <w:pPr>
        <w:ind w:left="178" w:firstLine="480"/>
        <w:rPr>
          <w:rFonts w:cs="微软雅黑"/>
          <w:highlight w:val="none"/>
        </w:rPr>
      </w:pPr>
      <w:r>
        <w:rPr>
          <w:rFonts w:hint="eastAsia" w:cs="微软雅黑"/>
          <w:highlight w:val="none"/>
          <w:lang w:bidi="ar"/>
        </w:rPr>
        <w:t>将任意一个信号在整个大屏上进行随意移动。</w:t>
      </w:r>
    </w:p>
    <w:p>
      <w:pPr>
        <w:ind w:firstLine="0" w:firstLineChars="0"/>
        <w:jc w:val="center"/>
        <w:rPr>
          <w:rFonts w:cs="微软雅黑"/>
          <w:highlight w:val="none"/>
        </w:rPr>
      </w:pPr>
      <w:r>
        <w:rPr>
          <w:rFonts w:hint="eastAsia" w:cs="微软雅黑"/>
          <w:color w:val="000000"/>
          <w:kern w:val="0"/>
          <w:highlight w:val="none"/>
        </w:rPr>
        <w:drawing>
          <wp:inline distT="0" distB="0" distL="114300" distR="114300">
            <wp:extent cx="5229225" cy="2733675"/>
            <wp:effectExtent l="0" t="0" r="9525" b="9525"/>
            <wp:docPr id="8" name="图片 7" descr="图像漫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图像漫游"/>
                    <pic:cNvPicPr>
                      <a:picLocks noChangeAspect="1"/>
                    </pic:cNvPicPr>
                  </pic:nvPicPr>
                  <pic:blipFill>
                    <a:blip r:embed="rId31"/>
                    <a:stretch>
                      <a:fillRect/>
                    </a:stretch>
                  </pic:blipFill>
                  <pic:spPr>
                    <a:xfrm>
                      <a:off x="0" y="0"/>
                      <a:ext cx="5229225" cy="2733675"/>
                    </a:xfrm>
                    <a:prstGeom prst="rect">
                      <a:avLst/>
                    </a:prstGeom>
                    <a:noFill/>
                    <a:ln>
                      <a:noFill/>
                    </a:ln>
                  </pic:spPr>
                </pic:pic>
              </a:graphicData>
            </a:graphic>
          </wp:inline>
        </w:drawing>
      </w:r>
    </w:p>
    <w:p>
      <w:pPr>
        <w:ind w:left="0" w:leftChars="0" w:firstLine="0" w:firstLineChars="0"/>
        <w:jc w:val="center"/>
        <w:rPr>
          <w:rFonts w:hint="eastAsia" w:ascii="黑体" w:hAnsi="黑体" w:eastAsia="黑体" w:cs="黑体"/>
          <w:sz w:val="22"/>
          <w:szCs w:val="22"/>
          <w:highlight w:val="none"/>
          <w:u w:val="single"/>
          <w:lang w:val="en-US" w:eastAsia="zh-CN"/>
        </w:rPr>
      </w:pPr>
      <w:r>
        <w:rPr>
          <w:rFonts w:hint="eastAsia" w:ascii="黑体" w:hAnsi="黑体" w:eastAsia="黑体" w:cs="黑体"/>
          <w:sz w:val="22"/>
          <w:szCs w:val="22"/>
          <w:highlight w:val="none"/>
          <w:u w:val="single"/>
          <w:lang w:val="en-US" w:eastAsia="zh-CN"/>
        </w:rPr>
        <w:t>图：图像漫游</w:t>
      </w:r>
    </w:p>
    <w:p>
      <w:pPr>
        <w:pStyle w:val="65"/>
        <w:widowControl/>
        <w:numPr>
          <w:ilvl w:val="0"/>
          <w:numId w:val="11"/>
        </w:numPr>
        <w:ind w:left="851" w:firstLineChars="0"/>
        <w:rPr>
          <w:rFonts w:hint="eastAsia" w:ascii="宋体" w:hAnsi="宋体" w:eastAsia="宋体" w:cs="宋体"/>
          <w:b/>
          <w:szCs w:val="24"/>
          <w:highlight w:val="none"/>
        </w:rPr>
      </w:pPr>
      <w:r>
        <w:rPr>
          <w:rFonts w:hint="eastAsia" w:ascii="宋体" w:hAnsi="宋体" w:eastAsia="宋体" w:cs="宋体"/>
          <w:b/>
          <w:szCs w:val="24"/>
          <w:highlight w:val="none"/>
        </w:rPr>
        <w:t>图像拉伸</w:t>
      </w:r>
    </w:p>
    <w:p>
      <w:pPr>
        <w:ind w:left="178" w:firstLine="480"/>
        <w:rPr>
          <w:rFonts w:cs="微软雅黑"/>
          <w:highlight w:val="none"/>
        </w:rPr>
      </w:pPr>
      <w:r>
        <w:rPr>
          <w:rFonts w:hint="eastAsia" w:cs="微软雅黑"/>
          <w:highlight w:val="none"/>
          <w:lang w:bidi="ar"/>
        </w:rPr>
        <w:t>可将一个信号在整个屏幕墙上随意缩放。</w:t>
      </w:r>
    </w:p>
    <w:p>
      <w:pPr>
        <w:ind w:firstLine="0" w:firstLineChars="0"/>
        <w:jc w:val="center"/>
        <w:rPr>
          <w:rFonts w:cs="微软雅黑"/>
          <w:highlight w:val="none"/>
        </w:rPr>
      </w:pPr>
      <w:r>
        <w:rPr>
          <w:rFonts w:hint="eastAsia" w:cs="微软雅黑"/>
          <w:color w:val="000000"/>
          <w:kern w:val="0"/>
          <w:highlight w:val="none"/>
        </w:rPr>
        <w:drawing>
          <wp:inline distT="0" distB="0" distL="114300" distR="114300">
            <wp:extent cx="5257800" cy="2733675"/>
            <wp:effectExtent l="0" t="0" r="0" b="9525"/>
            <wp:docPr id="14" name="图片 8" descr="缩放显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descr="缩放显示"/>
                    <pic:cNvPicPr>
                      <a:picLocks noChangeAspect="1"/>
                    </pic:cNvPicPr>
                  </pic:nvPicPr>
                  <pic:blipFill>
                    <a:blip r:embed="rId32"/>
                    <a:stretch>
                      <a:fillRect/>
                    </a:stretch>
                  </pic:blipFill>
                  <pic:spPr>
                    <a:xfrm>
                      <a:off x="0" y="0"/>
                      <a:ext cx="5257800" cy="2733675"/>
                    </a:xfrm>
                    <a:prstGeom prst="rect">
                      <a:avLst/>
                    </a:prstGeom>
                    <a:noFill/>
                    <a:ln>
                      <a:noFill/>
                    </a:ln>
                  </pic:spPr>
                </pic:pic>
              </a:graphicData>
            </a:graphic>
          </wp:inline>
        </w:drawing>
      </w:r>
    </w:p>
    <w:p>
      <w:pPr>
        <w:ind w:left="0" w:leftChars="0" w:firstLine="0" w:firstLineChars="0"/>
        <w:jc w:val="center"/>
        <w:rPr>
          <w:rFonts w:hint="eastAsia" w:ascii="黑体" w:hAnsi="黑体" w:eastAsia="黑体" w:cs="黑体"/>
          <w:sz w:val="22"/>
          <w:szCs w:val="22"/>
          <w:highlight w:val="none"/>
          <w:u w:val="single"/>
          <w:lang w:val="en-US" w:eastAsia="zh-CN"/>
        </w:rPr>
      </w:pPr>
      <w:r>
        <w:rPr>
          <w:rFonts w:hint="eastAsia" w:ascii="黑体" w:hAnsi="黑体" w:eastAsia="黑体" w:cs="黑体"/>
          <w:sz w:val="22"/>
          <w:szCs w:val="22"/>
          <w:highlight w:val="none"/>
          <w:u w:val="single"/>
          <w:lang w:val="en-US" w:eastAsia="zh-CN"/>
        </w:rPr>
        <w:t>图：图像拉伸</w:t>
      </w:r>
    </w:p>
    <w:p>
      <w:pPr>
        <w:pStyle w:val="65"/>
        <w:widowControl/>
        <w:numPr>
          <w:ilvl w:val="0"/>
          <w:numId w:val="11"/>
        </w:numPr>
        <w:ind w:left="851" w:firstLineChars="0"/>
        <w:rPr>
          <w:rFonts w:hint="eastAsia" w:ascii="宋体" w:hAnsi="宋体" w:eastAsia="宋体" w:cs="宋体"/>
          <w:b/>
          <w:szCs w:val="24"/>
          <w:highlight w:val="none"/>
        </w:rPr>
      </w:pPr>
      <w:r>
        <w:rPr>
          <w:rFonts w:hint="eastAsia" w:ascii="宋体" w:hAnsi="宋体" w:eastAsia="宋体" w:cs="宋体"/>
          <w:b/>
          <w:szCs w:val="24"/>
          <w:highlight w:val="none"/>
        </w:rPr>
        <w:t>虚拟LED条屏显示</w:t>
      </w:r>
    </w:p>
    <w:p>
      <w:pPr>
        <w:ind w:left="178" w:firstLine="480"/>
        <w:rPr>
          <w:rFonts w:cs="微软雅黑"/>
          <w:highlight w:val="none"/>
        </w:rPr>
      </w:pPr>
      <w:r>
        <w:rPr>
          <w:rFonts w:hint="eastAsia" w:cs="微软雅黑"/>
          <w:highlight w:val="none"/>
          <w:lang w:bidi="ar"/>
        </w:rPr>
        <w:t>在不占用视频输入的情况下，支持在全屏任何位置开出一个虚拟的显示屏，可以输入所需的文字（例如：热烈欢迎领导莅临参观），虚拟显示屏的位置、大小、颜色、透明度、都可以随意调节。</w:t>
      </w:r>
    </w:p>
    <w:p>
      <w:pPr>
        <w:ind w:firstLine="0" w:firstLineChars="0"/>
        <w:jc w:val="center"/>
        <w:rPr>
          <w:rFonts w:cs="微软雅黑"/>
          <w:highlight w:val="none"/>
        </w:rPr>
      </w:pPr>
      <w:r>
        <w:rPr>
          <w:rFonts w:hint="eastAsia" w:cs="微软雅黑"/>
          <w:highlight w:val="none"/>
        </w:rPr>
        <w:drawing>
          <wp:inline distT="0" distB="0" distL="114300" distR="114300">
            <wp:extent cx="5276850" cy="2733675"/>
            <wp:effectExtent l="0" t="0" r="0" b="9525"/>
            <wp:docPr id="10" name="图片 9" descr="虚拟LED条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虚拟LED条屏"/>
                    <pic:cNvPicPr>
                      <a:picLocks noChangeAspect="1"/>
                    </pic:cNvPicPr>
                  </pic:nvPicPr>
                  <pic:blipFill>
                    <a:blip r:embed="rId33"/>
                    <a:stretch>
                      <a:fillRect/>
                    </a:stretch>
                  </pic:blipFill>
                  <pic:spPr>
                    <a:xfrm>
                      <a:off x="0" y="0"/>
                      <a:ext cx="5276850" cy="2733675"/>
                    </a:xfrm>
                    <a:prstGeom prst="rect">
                      <a:avLst/>
                    </a:prstGeom>
                    <a:noFill/>
                    <a:ln>
                      <a:noFill/>
                    </a:ln>
                  </pic:spPr>
                </pic:pic>
              </a:graphicData>
            </a:graphic>
          </wp:inline>
        </w:drawing>
      </w:r>
    </w:p>
    <w:p>
      <w:pPr>
        <w:ind w:left="0" w:leftChars="0" w:firstLine="0" w:firstLineChars="0"/>
        <w:jc w:val="center"/>
        <w:rPr>
          <w:rFonts w:hint="eastAsia" w:ascii="黑体" w:hAnsi="黑体" w:eastAsia="黑体" w:cs="黑体"/>
          <w:sz w:val="22"/>
          <w:szCs w:val="22"/>
          <w:highlight w:val="none"/>
          <w:u w:val="single"/>
          <w:lang w:val="en-US" w:eastAsia="zh-CN"/>
        </w:rPr>
      </w:pPr>
      <w:r>
        <w:rPr>
          <w:rFonts w:hint="eastAsia" w:ascii="黑体" w:hAnsi="黑体" w:eastAsia="黑体" w:cs="黑体"/>
          <w:sz w:val="22"/>
          <w:szCs w:val="22"/>
          <w:highlight w:val="none"/>
          <w:u w:val="single"/>
          <w:lang w:val="en-US" w:eastAsia="zh-CN"/>
        </w:rPr>
        <w:t>图：虚拟LED条屏显示</w:t>
      </w:r>
    </w:p>
    <w:p>
      <w:pPr>
        <w:pStyle w:val="4"/>
        <w:bidi w:val="0"/>
        <w:ind w:left="482" w:leftChars="0" w:hanging="425" w:firstLineChars="0"/>
        <w:rPr>
          <w:rFonts w:hint="eastAsia"/>
          <w:highlight w:val="none"/>
          <w:lang w:val="en-US" w:eastAsia="zh-CN"/>
        </w:rPr>
      </w:pPr>
      <w:bookmarkStart w:id="46" w:name="_Toc21006"/>
      <w:r>
        <w:rPr>
          <w:rFonts w:hint="eastAsia"/>
          <w:highlight w:val="none"/>
          <w:lang w:val="en-US" w:eastAsia="zh-CN"/>
        </w:rPr>
        <w:t>大屏设计</w:t>
      </w:r>
      <w:bookmarkEnd w:id="46"/>
    </w:p>
    <w:p>
      <w:pPr>
        <w:ind w:firstLine="720" w:firstLineChars="300"/>
        <w:rPr>
          <w:highlight w:val="none"/>
        </w:rPr>
      </w:pPr>
      <w:r>
        <w:rPr>
          <w:rFonts w:hint="eastAsia"/>
          <w:highlight w:val="none"/>
          <w:lang w:bidi="ar"/>
        </w:rPr>
        <w:t>显示系统主要作用是用于监控中心安保人员能够直观的了解企业各个场景的实时情况，通过大屏显示系统能够有效的显示前端视影像情况并及时进行指挥调度。</w:t>
      </w:r>
    </w:p>
    <w:p>
      <w:pPr>
        <w:ind w:left="178" w:firstLine="480"/>
        <w:rPr>
          <w:rFonts w:hint="eastAsia" w:cs="微软雅黑"/>
          <w:highlight w:val="none"/>
          <w:lang w:bidi="ar"/>
        </w:rPr>
      </w:pPr>
      <w:r>
        <w:rPr>
          <w:rFonts w:hint="eastAsia" w:cs="微软雅黑"/>
          <w:highlight w:val="none"/>
          <w:lang w:bidi="ar"/>
        </w:rPr>
        <w:t>大屏系统采用</w:t>
      </w:r>
      <w:r>
        <w:rPr>
          <w:rFonts w:hint="eastAsia" w:cs="微软雅黑"/>
          <w:highlight w:val="none"/>
          <w:lang w:val="en-US" w:eastAsia="zh-CN" w:bidi="ar"/>
        </w:rPr>
        <w:t>3</w:t>
      </w:r>
      <w:r>
        <w:rPr>
          <w:rFonts w:hint="eastAsia" w:cs="微软雅黑"/>
          <w:highlight w:val="none"/>
          <w:lang w:bidi="ar"/>
        </w:rPr>
        <w:t>（行）×</w:t>
      </w:r>
      <w:r>
        <w:rPr>
          <w:rFonts w:hint="eastAsia" w:cs="微软雅黑"/>
          <w:highlight w:val="none"/>
          <w:lang w:val="en-US" w:eastAsia="zh-CN" w:bidi="ar"/>
        </w:rPr>
        <w:t>5</w:t>
      </w:r>
      <w:r>
        <w:rPr>
          <w:rFonts w:hint="eastAsia" w:cs="微软雅黑"/>
          <w:highlight w:val="none"/>
          <w:lang w:bidi="ar"/>
        </w:rPr>
        <w:t>（列）55″超窄边液晶拼接屏方式建设，</w:t>
      </w:r>
      <w:r>
        <w:rPr>
          <w:rFonts w:hint="eastAsia" w:cs="微软雅黑"/>
          <w:highlight w:val="none"/>
          <w:lang w:val="en-US" w:eastAsia="zh-CN" w:bidi="ar"/>
        </w:rPr>
        <w:t>尺寸</w:t>
      </w:r>
      <w:r>
        <w:rPr>
          <w:rFonts w:hint="eastAsia" w:cs="微软雅黑"/>
          <w:highlight w:val="none"/>
          <w:lang w:bidi="ar"/>
        </w:rPr>
        <w:t>图如下：</w:t>
      </w:r>
    </w:p>
    <w:p>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eastAsia="宋体"/>
          <w:highlight w:val="none"/>
          <w:lang w:eastAsia="zh-CN"/>
        </w:rPr>
      </w:pPr>
      <w:r>
        <w:drawing>
          <wp:inline distT="0" distB="0" distL="114300" distR="114300">
            <wp:extent cx="5273040" cy="2918460"/>
            <wp:effectExtent l="0" t="0" r="3810" b="15240"/>
            <wp:docPr id="6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7"/>
                    <pic:cNvPicPr>
                      <a:picLocks noChangeAspect="1"/>
                    </pic:cNvPicPr>
                  </pic:nvPicPr>
                  <pic:blipFill>
                    <a:blip r:embed="rId34"/>
                    <a:stretch>
                      <a:fillRect/>
                    </a:stretch>
                  </pic:blipFill>
                  <pic:spPr>
                    <a:xfrm>
                      <a:off x="0" y="0"/>
                      <a:ext cx="5273040" cy="291846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highlight w:val="none"/>
          <w:lang w:val="en-US" w:eastAsia="zh-CN"/>
        </w:rPr>
      </w:pPr>
    </w:p>
    <w:p>
      <w:pPr>
        <w:ind w:left="0" w:leftChars="0" w:firstLine="0" w:firstLineChars="0"/>
        <w:jc w:val="center"/>
        <w:rPr>
          <w:rFonts w:hint="eastAsia" w:ascii="黑体" w:hAnsi="黑体" w:eastAsia="黑体" w:cs="黑体"/>
          <w:sz w:val="22"/>
          <w:szCs w:val="22"/>
          <w:highlight w:val="none"/>
          <w:u w:val="single"/>
          <w:lang w:val="en-US" w:eastAsia="zh-CN"/>
        </w:rPr>
      </w:pPr>
      <w:r>
        <w:rPr>
          <w:rFonts w:hint="eastAsia" w:ascii="黑体" w:hAnsi="黑体" w:eastAsia="黑体" w:cs="黑体"/>
          <w:sz w:val="22"/>
          <w:szCs w:val="22"/>
          <w:highlight w:val="none"/>
          <w:u w:val="single"/>
          <w:lang w:val="en-US" w:eastAsia="zh-CN"/>
        </w:rPr>
        <w:t>图：液晶拼接屏建设示意图</w:t>
      </w:r>
    </w:p>
    <w:p>
      <w:pPr>
        <w:pStyle w:val="3"/>
        <w:bidi w:val="0"/>
        <w:ind w:left="482" w:leftChars="0" w:hanging="425" w:firstLineChars="0"/>
        <w:rPr>
          <w:rFonts w:hint="eastAsia"/>
          <w:highlight w:val="none"/>
          <w:lang w:val="en-US" w:eastAsia="zh-CN"/>
        </w:rPr>
      </w:pPr>
      <w:bookmarkStart w:id="47" w:name="_Toc71212735"/>
      <w:bookmarkStart w:id="48" w:name="_Toc42712242"/>
      <w:bookmarkStart w:id="49" w:name="_Toc19078"/>
      <w:bookmarkStart w:id="50" w:name="_Toc17819"/>
      <w:r>
        <w:rPr>
          <w:rFonts w:hint="eastAsia"/>
          <w:highlight w:val="none"/>
          <w:lang w:val="en-US" w:eastAsia="zh-CN"/>
        </w:rPr>
        <w:t>UPS配电系统</w:t>
      </w:r>
      <w:bookmarkEnd w:id="47"/>
      <w:bookmarkEnd w:id="48"/>
      <w:bookmarkEnd w:id="49"/>
      <w:bookmarkEnd w:id="50"/>
    </w:p>
    <w:p>
      <w:pPr>
        <w:spacing w:before="163" w:after="163"/>
        <w:ind w:firstLine="480"/>
        <w:rPr>
          <w:rFonts w:hint="eastAsia" w:ascii="宋体" w:hAnsi="宋体" w:cs="宋体"/>
          <w:highlight w:val="none"/>
          <w:lang w:val="en-US" w:eastAsia="zh-CN"/>
        </w:rPr>
      </w:pPr>
      <w:r>
        <w:rPr>
          <w:rFonts w:hint="eastAsia" w:ascii="宋体" w:hAnsi="宋体" w:cs="宋体"/>
          <w:highlight w:val="none"/>
        </w:rPr>
        <w:t>为保证信息系统的安全，UPS的建设尤为重要。由于供电系统中不可避免的存在如供电中断、电压浪涌等故障，这些情况中的任一出现必将造成整个供电系统的不稳定，尤其是对信息化设备轻则工作出错、通信失败，重则设备损坏、数据丢失、系统崩溃。所以本次监控中心拟新增一套U</w:t>
      </w:r>
      <w:r>
        <w:rPr>
          <w:rFonts w:ascii="宋体" w:hAnsi="宋体" w:cs="宋体"/>
          <w:highlight w:val="none"/>
        </w:rPr>
        <w:t>PS</w:t>
      </w:r>
      <w:r>
        <w:rPr>
          <w:rFonts w:hint="eastAsia" w:ascii="宋体" w:hAnsi="宋体" w:cs="宋体"/>
          <w:highlight w:val="none"/>
        </w:rPr>
        <w:t>，对本次新增的及后续可能新增的智能化系统提供后备电源。满足重要设备约1小时供电时间。</w:t>
      </w:r>
      <w:r>
        <w:rPr>
          <w:rFonts w:hint="eastAsia" w:ascii="宋体" w:hAnsi="宋体" w:cs="宋体"/>
          <w:highlight w:val="none"/>
          <w:lang w:val="en-US" w:eastAsia="zh-CN"/>
        </w:rPr>
        <w:t>本次UPS供电范围主要包括以下两部分：</w:t>
      </w:r>
    </w:p>
    <w:p>
      <w:pPr>
        <w:pStyle w:val="34"/>
        <w:keepNext w:val="0"/>
        <w:keepLines w:val="0"/>
        <w:pageBreakBefore w:val="0"/>
        <w:widowControl w:val="0"/>
        <w:kinsoku/>
        <w:wordWrap/>
        <w:overflowPunct/>
        <w:topLinePunct w:val="0"/>
        <w:autoSpaceDE/>
        <w:autoSpaceDN/>
        <w:bidi w:val="0"/>
        <w:adjustRightInd/>
        <w:snapToGrid/>
        <w:spacing w:before="276"/>
        <w:ind w:left="0" w:leftChars="0" w:firstLine="0" w:firstLineChars="0"/>
        <w:textAlignment w:val="auto"/>
        <w:rPr>
          <w:rFonts w:hint="eastAsia" w:ascii="宋体" w:hAnsi="宋体" w:cs="宋体"/>
          <w:b/>
          <w:bCs/>
          <w:highlight w:val="none"/>
          <w:lang w:val="en-US" w:eastAsia="zh-CN"/>
        </w:rPr>
      </w:pPr>
      <w:r>
        <w:rPr>
          <w:rFonts w:hint="eastAsia" w:ascii="宋体" w:hAnsi="宋体" w:cs="宋体"/>
          <w:b/>
          <w:bCs/>
          <w:highlight w:val="none"/>
          <w:lang w:val="en-US" w:eastAsia="zh-CN"/>
        </w:rPr>
        <w:t>（1）学院视频监控系统核心设备：</w:t>
      </w:r>
    </w:p>
    <w:tbl>
      <w:tblPr>
        <w:tblStyle w:val="29"/>
        <w:tblW w:w="80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5"/>
        <w:gridCol w:w="2505"/>
        <w:gridCol w:w="750"/>
        <w:gridCol w:w="750"/>
        <w:gridCol w:w="1560"/>
        <w:gridCol w:w="15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5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分项名称</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单台功率（W）</w:t>
            </w:r>
          </w:p>
        </w:tc>
        <w:tc>
          <w:tcPr>
            <w:tcW w:w="15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总功率（W）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中心服务器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业务服务器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网络视频存储服务器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磁盘阵列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网络设备（交换机等）</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机房视频视频门禁系统</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操作电脑</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40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5650</w:t>
            </w:r>
          </w:p>
        </w:tc>
      </w:tr>
    </w:tbl>
    <w:p>
      <w:pPr>
        <w:pStyle w:val="34"/>
        <w:keepNext w:val="0"/>
        <w:keepLines w:val="0"/>
        <w:pageBreakBefore w:val="0"/>
        <w:widowControl w:val="0"/>
        <w:kinsoku/>
        <w:wordWrap/>
        <w:overflowPunct/>
        <w:topLinePunct w:val="0"/>
        <w:autoSpaceDE/>
        <w:autoSpaceDN/>
        <w:bidi w:val="0"/>
        <w:adjustRightInd/>
        <w:snapToGrid/>
        <w:spacing w:before="276"/>
        <w:ind w:left="0" w:leftChars="0" w:firstLine="0" w:firstLineChars="0"/>
        <w:textAlignment w:val="auto"/>
        <w:rPr>
          <w:rFonts w:hint="eastAsia" w:ascii="宋体" w:hAnsi="宋体" w:cs="宋体"/>
          <w:b/>
          <w:bCs/>
          <w:highlight w:val="none"/>
          <w:lang w:val="en-US" w:eastAsia="zh-CN"/>
        </w:rPr>
      </w:pPr>
      <w:r>
        <w:rPr>
          <w:rFonts w:hint="eastAsia" w:ascii="宋体" w:hAnsi="宋体" w:cs="宋体"/>
          <w:b/>
          <w:bCs/>
          <w:highlight w:val="none"/>
          <w:lang w:val="en-US" w:eastAsia="zh-CN"/>
        </w:rPr>
        <w:t>（2）新楼视频监控系统核心设备：</w:t>
      </w:r>
    </w:p>
    <w:tbl>
      <w:tblPr>
        <w:tblStyle w:val="29"/>
        <w:tblW w:w="80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5"/>
        <w:gridCol w:w="2505"/>
        <w:gridCol w:w="750"/>
        <w:gridCol w:w="750"/>
        <w:gridCol w:w="1560"/>
        <w:gridCol w:w="15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5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分项名称</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单台功率（W）</w:t>
            </w:r>
          </w:p>
        </w:tc>
        <w:tc>
          <w:tcPr>
            <w:tcW w:w="15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总功率（W）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流媒体服务器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监视屏服务器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网络硬盘录像机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网络设备（交换机等）</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40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ind w:firstLine="0" w:firstLineChars="0"/>
              <w:jc w:val="center"/>
              <w:rPr>
                <w:rFonts w:hint="eastAsia" w:ascii="宋体" w:hAnsi="宋体" w:eastAsia="宋体" w:cs="宋体"/>
                <w:b/>
                <w:bCs/>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2200</w:t>
            </w:r>
          </w:p>
        </w:tc>
      </w:tr>
    </w:tbl>
    <w:p>
      <w:pPr>
        <w:spacing w:before="163" w:after="163"/>
        <w:ind w:firstLine="480"/>
        <w:rPr>
          <w:rFonts w:hint="eastAsia" w:eastAsia="宋体"/>
          <w:lang w:val="en-US" w:eastAsia="zh-CN"/>
        </w:rPr>
      </w:pPr>
      <w:r>
        <w:rPr>
          <w:rFonts w:hint="eastAsia" w:ascii="宋体" w:hAnsi="宋体" w:cs="宋体"/>
          <w:highlight w:val="none"/>
          <w:lang w:val="en-US" w:eastAsia="zh-CN"/>
        </w:rPr>
        <w:t>根据现有设备功率计算，安全管理中心现有功率需求约7850W，考虑后续监控系统扩容需求和其它信息化系统建设需求</w:t>
      </w:r>
      <w:r>
        <w:rPr>
          <w:rFonts w:hint="eastAsia" w:ascii="宋体" w:hAnsi="宋体" w:cs="宋体"/>
          <w:highlight w:val="none"/>
          <w:lang w:eastAsia="zh-CN"/>
        </w:rPr>
        <w:t>，</w:t>
      </w:r>
      <w:r>
        <w:rPr>
          <w:rFonts w:hint="eastAsia" w:ascii="宋体" w:hAnsi="宋体" w:cs="宋体"/>
          <w:highlight w:val="none"/>
        </w:rPr>
        <w:t>本</w:t>
      </w:r>
      <w:r>
        <w:rPr>
          <w:rFonts w:hint="eastAsia" w:ascii="宋体" w:hAnsi="宋体" w:cs="宋体"/>
          <w:highlight w:val="none"/>
          <w:lang w:val="en-US" w:eastAsia="zh-CN"/>
        </w:rPr>
        <w:t>次设计</w:t>
      </w:r>
      <w:r>
        <w:rPr>
          <w:rFonts w:hint="eastAsia" w:ascii="宋体" w:hAnsi="宋体" w:cs="宋体"/>
          <w:highlight w:val="none"/>
        </w:rPr>
        <w:t>在</w:t>
      </w:r>
      <w:r>
        <w:rPr>
          <w:rFonts w:hint="eastAsia" w:ascii="宋体" w:hAnsi="宋体" w:cs="宋体"/>
          <w:highlight w:val="none"/>
          <w:lang w:val="en-US" w:eastAsia="zh-CN"/>
        </w:rPr>
        <w:t>安全管理中心</w:t>
      </w:r>
      <w:r>
        <w:rPr>
          <w:rFonts w:hint="eastAsia" w:ascii="宋体" w:hAnsi="宋体" w:cs="宋体"/>
          <w:highlight w:val="none"/>
        </w:rPr>
        <w:t>配置一套</w:t>
      </w:r>
      <w:r>
        <w:rPr>
          <w:rFonts w:ascii="宋体" w:hAnsi="宋体" w:cs="宋体"/>
          <w:highlight w:val="none"/>
        </w:rPr>
        <w:t>20KVA</w:t>
      </w:r>
      <w:r>
        <w:rPr>
          <w:rFonts w:hint="eastAsia" w:ascii="宋体" w:hAnsi="宋体" w:cs="宋体"/>
          <w:highlight w:val="none"/>
        </w:rPr>
        <w:t xml:space="preserve"> U</w:t>
      </w:r>
      <w:r>
        <w:rPr>
          <w:rFonts w:ascii="宋体" w:hAnsi="宋体" w:cs="宋体"/>
          <w:highlight w:val="none"/>
        </w:rPr>
        <w:t>PS</w:t>
      </w:r>
      <w:r>
        <w:rPr>
          <w:rFonts w:hint="eastAsia" w:ascii="宋体" w:hAnsi="宋体" w:cs="宋体"/>
          <w:highlight w:val="none"/>
        </w:rPr>
        <w:t>，配置</w:t>
      </w:r>
      <w:r>
        <w:rPr>
          <w:rFonts w:hint="eastAsia" w:ascii="宋体" w:hAnsi="宋体" w:cs="宋体"/>
          <w:highlight w:val="none"/>
          <w:lang w:val="en-US" w:eastAsia="zh-CN"/>
        </w:rPr>
        <w:t>32</w:t>
      </w:r>
      <w:r>
        <w:rPr>
          <w:rFonts w:hint="eastAsia" w:ascii="宋体" w:hAnsi="宋体" w:cs="宋体"/>
          <w:highlight w:val="none"/>
        </w:rPr>
        <w:t>块</w:t>
      </w:r>
      <w:r>
        <w:rPr>
          <w:rFonts w:hint="eastAsia" w:ascii="宋体" w:hAnsi="宋体" w:cs="宋体"/>
          <w:highlight w:val="none"/>
          <w:lang w:val="en-US" w:eastAsia="zh-CN"/>
        </w:rPr>
        <w:t>蓄电池</w:t>
      </w:r>
      <w:r>
        <w:rPr>
          <w:rFonts w:hint="eastAsia" w:ascii="宋体" w:hAnsi="宋体" w:cs="宋体"/>
          <w:highlight w:val="none"/>
        </w:rPr>
        <w:t>，满足设备后备1小时供电需求。</w:t>
      </w:r>
    </w:p>
    <w:p>
      <w:pPr>
        <w:pStyle w:val="3"/>
        <w:bidi w:val="0"/>
        <w:ind w:left="482" w:leftChars="0" w:hanging="425" w:firstLineChars="0"/>
        <w:rPr>
          <w:rFonts w:hint="eastAsia"/>
          <w:highlight w:val="none"/>
          <w:lang w:val="en-US" w:eastAsia="zh-CN"/>
        </w:rPr>
      </w:pPr>
      <w:bookmarkStart w:id="51" w:name="_Toc42712244"/>
      <w:bookmarkStart w:id="52" w:name="_Toc5943"/>
      <w:bookmarkStart w:id="53" w:name="_Toc71212736"/>
      <w:bookmarkStart w:id="54" w:name="_Toc25622"/>
      <w:r>
        <w:rPr>
          <w:rFonts w:hint="eastAsia"/>
          <w:highlight w:val="none"/>
          <w:lang w:val="en-US" w:eastAsia="zh-CN"/>
        </w:rPr>
        <w:t>门禁监控系统</w:t>
      </w:r>
      <w:bookmarkEnd w:id="51"/>
      <w:bookmarkEnd w:id="52"/>
      <w:bookmarkEnd w:id="53"/>
      <w:bookmarkEnd w:id="54"/>
    </w:p>
    <w:p>
      <w:pPr>
        <w:pStyle w:val="4"/>
        <w:bidi w:val="0"/>
        <w:ind w:left="482" w:leftChars="0" w:hanging="425" w:firstLineChars="0"/>
        <w:rPr>
          <w:rFonts w:hint="eastAsia"/>
          <w:lang w:val="en-US" w:eastAsia="zh-CN"/>
        </w:rPr>
      </w:pPr>
      <w:bookmarkStart w:id="55" w:name="_Toc8878"/>
      <w:r>
        <w:rPr>
          <w:rFonts w:hint="eastAsia"/>
          <w:highlight w:val="none"/>
          <w:lang w:val="en-US" w:eastAsia="zh-CN"/>
        </w:rPr>
        <w:t>门禁管理系统</w:t>
      </w:r>
      <w:bookmarkEnd w:id="55"/>
    </w:p>
    <w:p>
      <w:pPr>
        <w:pStyle w:val="5"/>
        <w:bidi w:val="0"/>
        <w:ind w:left="480" w:leftChars="0" w:firstLine="0" w:firstLineChars="0"/>
        <w:rPr>
          <w:rFonts w:hint="eastAsia"/>
          <w:lang w:val="en-US" w:eastAsia="zh-CN"/>
        </w:rPr>
      </w:pPr>
      <w:r>
        <w:rPr>
          <w:rFonts w:hint="eastAsia"/>
          <w:highlight w:val="none"/>
          <w:lang w:val="en-US" w:eastAsia="zh-CN"/>
        </w:rPr>
        <w:t>系统功能</w:t>
      </w:r>
    </w:p>
    <w:p>
      <w:pPr>
        <w:spacing w:before="163" w:after="163"/>
        <w:ind w:firstLine="480"/>
        <w:rPr>
          <w:rFonts w:hint="eastAsia" w:ascii="宋体" w:hAnsi="宋体" w:cs="宋体"/>
          <w:highlight w:val="none"/>
        </w:rPr>
      </w:pPr>
      <w:r>
        <w:rPr>
          <w:rFonts w:hint="default" w:ascii="宋体" w:hAnsi="宋体" w:cs="宋体"/>
          <w:highlight w:val="none"/>
        </w:rPr>
        <w:t>机房设置门禁管理的意义主要体现在以下几个方面：</w:t>
      </w:r>
    </w:p>
    <w:p>
      <w:pPr>
        <w:spacing w:before="163" w:after="163"/>
        <w:ind w:firstLine="480"/>
        <w:rPr>
          <w:rFonts w:hint="eastAsia" w:ascii="宋体" w:hAnsi="宋体" w:cs="宋体"/>
          <w:highlight w:val="none"/>
        </w:rPr>
      </w:pPr>
      <w:r>
        <w:rPr>
          <w:rFonts w:hint="default" w:ascii="宋体" w:hAnsi="宋体" w:cs="宋体"/>
          <w:highlight w:val="none"/>
        </w:rPr>
        <w:t>安全保障：机房内通常存放着重要的服务器、网络设备和数据资料，门禁系统可以限制非授权人员进入机房。这样可以有效防止未经授权的人员进入机房，减少机房设备的被盗、被破坏等安全问题的发生。</w:t>
      </w:r>
    </w:p>
    <w:p>
      <w:pPr>
        <w:spacing w:before="163" w:after="163"/>
        <w:ind w:firstLine="480"/>
        <w:rPr>
          <w:rFonts w:hint="eastAsia" w:ascii="宋体" w:hAnsi="宋体" w:cs="宋体"/>
          <w:highlight w:val="none"/>
        </w:rPr>
      </w:pPr>
      <w:r>
        <w:rPr>
          <w:rFonts w:hint="default" w:ascii="宋体" w:hAnsi="宋体" w:cs="宋体"/>
          <w:highlight w:val="none"/>
        </w:rPr>
        <w:t>数据保护：机房内的服务器和存储设备中存储着重要的数据，门禁系统可以严格控制进出机房的人员，防止机密数据被非授权人员接触和泄露。</w:t>
      </w:r>
    </w:p>
    <w:p>
      <w:pPr>
        <w:spacing w:before="163" w:after="163"/>
        <w:ind w:firstLine="480"/>
        <w:rPr>
          <w:rFonts w:hint="eastAsia" w:ascii="宋体" w:hAnsi="宋体" w:cs="宋体"/>
          <w:highlight w:val="none"/>
        </w:rPr>
      </w:pPr>
      <w:r>
        <w:rPr>
          <w:rFonts w:hint="default" w:ascii="宋体" w:hAnsi="宋体" w:cs="宋体"/>
          <w:highlight w:val="none"/>
        </w:rPr>
        <w:t>降低人为错误：机房内设备和设施较为复杂，专业知识要求较高。通过门禁系统，可以确保只有具备相应权限和技能的人员才能进入机房，避免非专业人员误操作或造成设备故障。</w:t>
      </w:r>
    </w:p>
    <w:p>
      <w:pPr>
        <w:spacing w:before="163" w:after="163"/>
        <w:ind w:firstLine="480"/>
        <w:rPr>
          <w:rFonts w:hint="eastAsia" w:ascii="宋体" w:hAnsi="宋体" w:cs="宋体"/>
          <w:highlight w:val="none"/>
        </w:rPr>
      </w:pPr>
      <w:r>
        <w:rPr>
          <w:rFonts w:hint="default" w:ascii="宋体" w:hAnsi="宋体" w:cs="宋体"/>
          <w:highlight w:val="none"/>
        </w:rPr>
        <w:t>管理便捷：门禁管理系统可以记录进出机房的人员信息、时间和权限等相关信息，管理员可以随时查询、统计和管理。这样可以提高对机房人员进出管理的便捷性和精确性。</w:t>
      </w:r>
    </w:p>
    <w:p>
      <w:pPr>
        <w:spacing w:before="163" w:after="163"/>
        <w:ind w:firstLine="480"/>
        <w:rPr>
          <w:rFonts w:hint="eastAsia" w:ascii="宋体" w:hAnsi="宋体" w:cs="宋体"/>
          <w:highlight w:val="none"/>
        </w:rPr>
      </w:pPr>
      <w:r>
        <w:rPr>
          <w:rFonts w:hint="default" w:ascii="宋体" w:hAnsi="宋体" w:cs="宋体"/>
          <w:highlight w:val="none"/>
        </w:rPr>
        <w:t>追溯与调查：门禁系统记录了人员的进出记录，可以提供必要的证据用于事故追溯和调查，有助于确定责任和处理纠纷。</w:t>
      </w:r>
    </w:p>
    <w:p>
      <w:pPr>
        <w:spacing w:before="163" w:after="163"/>
        <w:ind w:firstLine="480"/>
        <w:rPr>
          <w:rFonts w:hint="default" w:ascii="宋体" w:hAnsi="宋体" w:cs="宋体"/>
          <w:highlight w:val="none"/>
        </w:rPr>
      </w:pPr>
      <w:r>
        <w:rPr>
          <w:rFonts w:hint="default" w:ascii="宋体" w:hAnsi="宋体" w:cs="宋体"/>
          <w:highlight w:val="none"/>
        </w:rPr>
        <w:t>综上所述，机房设置门禁管理系统可以提供机房安全和数据保护的保障，降低人为错误，方便管理和追溯调查。它是机房管理不可或缺的一项重要措施。</w:t>
      </w:r>
    </w:p>
    <w:p>
      <w:pPr>
        <w:pStyle w:val="5"/>
        <w:bidi w:val="0"/>
        <w:ind w:left="480" w:leftChars="0" w:firstLine="0" w:firstLineChars="0"/>
        <w:rPr>
          <w:rFonts w:hint="eastAsia"/>
          <w:lang w:val="en-US" w:eastAsia="zh-CN"/>
        </w:rPr>
      </w:pPr>
      <w:r>
        <w:rPr>
          <w:rFonts w:hint="eastAsia"/>
          <w:highlight w:val="none"/>
          <w:lang w:val="en-US" w:eastAsia="zh-CN"/>
        </w:rPr>
        <w:t>系统架构</w:t>
      </w:r>
    </w:p>
    <w:p>
      <w:pPr>
        <w:spacing w:before="163" w:after="163"/>
        <w:ind w:firstLine="480"/>
        <w:rPr>
          <w:rFonts w:ascii="宋体" w:hAnsi="宋体" w:cs="宋体"/>
          <w:highlight w:val="none"/>
        </w:rPr>
      </w:pPr>
      <w:r>
        <w:rPr>
          <w:rFonts w:hint="eastAsia" w:ascii="宋体" w:hAnsi="宋体" w:cs="宋体"/>
          <w:highlight w:val="none"/>
          <w:lang w:val="en-US" w:eastAsia="zh-CN"/>
        </w:rPr>
        <w:t>本项目视频门禁系统</w:t>
      </w:r>
      <w:r>
        <w:rPr>
          <w:rFonts w:hint="eastAsia" w:ascii="宋体" w:hAnsi="宋体" w:cs="宋体"/>
          <w:highlight w:val="none"/>
          <w:u w:val="single"/>
          <w:lang w:val="en-US" w:eastAsia="zh-CN"/>
        </w:rPr>
        <w:t>选用国密算法设备</w:t>
      </w:r>
      <w:r>
        <w:rPr>
          <w:rFonts w:hint="eastAsia" w:ascii="宋体" w:hAnsi="宋体" w:cs="宋体"/>
          <w:highlight w:val="none"/>
          <w:lang w:val="en-US" w:eastAsia="zh-CN"/>
        </w:rPr>
        <w:t>，</w:t>
      </w:r>
      <w:r>
        <w:rPr>
          <w:rFonts w:hint="eastAsia" w:ascii="宋体" w:hAnsi="宋体" w:cs="宋体"/>
          <w:highlight w:val="none"/>
        </w:rPr>
        <w:t>门禁系统由电磁锁、门禁读卡器、出门按钮、门禁管理软件、门禁控制器、发卡器、门禁管理软件组成。本次配置的门禁系统应选用网络型门禁，采用国际互联网标准协议，便于与其它系统进行集成。具体拓扑如下：</w:t>
      </w:r>
    </w:p>
    <w:p>
      <w:pPr>
        <w:spacing w:before="163" w:after="163"/>
        <w:ind w:firstLine="480"/>
        <w:jc w:val="center"/>
        <w:rPr>
          <w:highlight w:val="none"/>
        </w:rPr>
      </w:pPr>
      <w:r>
        <w:rPr>
          <w:highlight w:val="none"/>
        </w:rPr>
        <w:drawing>
          <wp:inline distT="0" distB="0" distL="114300" distR="114300">
            <wp:extent cx="3602990" cy="3209925"/>
            <wp:effectExtent l="0" t="0" r="16510" b="9525"/>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pic:cNvPicPr>
                      <a:picLocks noChangeAspect="1"/>
                    </pic:cNvPicPr>
                  </pic:nvPicPr>
                  <pic:blipFill>
                    <a:blip r:embed="rId35"/>
                    <a:stretch>
                      <a:fillRect/>
                    </a:stretch>
                  </pic:blipFill>
                  <pic:spPr>
                    <a:xfrm>
                      <a:off x="0" y="0"/>
                      <a:ext cx="3602990" cy="3209925"/>
                    </a:xfrm>
                    <a:prstGeom prst="rect">
                      <a:avLst/>
                    </a:prstGeom>
                    <a:noFill/>
                    <a:ln>
                      <a:noFill/>
                    </a:ln>
                  </pic:spPr>
                </pic:pic>
              </a:graphicData>
            </a:graphic>
          </wp:inline>
        </w:drawing>
      </w:r>
    </w:p>
    <w:p>
      <w:pPr>
        <w:ind w:left="0" w:leftChars="0" w:firstLine="0" w:firstLineChars="0"/>
        <w:jc w:val="center"/>
        <w:rPr>
          <w:rFonts w:hint="default" w:ascii="黑体" w:hAnsi="黑体" w:eastAsia="黑体" w:cs="黑体"/>
          <w:sz w:val="22"/>
          <w:szCs w:val="22"/>
          <w:highlight w:val="none"/>
          <w:u w:val="single"/>
          <w:lang w:val="en-US" w:eastAsia="zh-CN"/>
        </w:rPr>
      </w:pPr>
      <w:r>
        <w:rPr>
          <w:rFonts w:hint="eastAsia" w:ascii="黑体" w:hAnsi="黑体" w:eastAsia="黑体" w:cs="黑体"/>
          <w:sz w:val="22"/>
          <w:szCs w:val="22"/>
          <w:highlight w:val="none"/>
          <w:u w:val="single"/>
          <w:lang w:val="en-US" w:eastAsia="zh-CN"/>
        </w:rPr>
        <w:t>门禁管理系统拓扑图</w:t>
      </w:r>
    </w:p>
    <w:p>
      <w:pPr>
        <w:numPr>
          <w:ilvl w:val="0"/>
          <w:numId w:val="12"/>
        </w:numPr>
        <w:spacing w:before="163" w:after="163"/>
        <w:ind w:left="425" w:leftChars="0" w:hanging="425" w:firstLineChars="0"/>
        <w:rPr>
          <w:rFonts w:hint="eastAsia" w:ascii="宋体" w:hAnsi="宋体" w:cs="宋体"/>
          <w:highlight w:val="none"/>
          <w:lang w:val="en-US" w:eastAsia="zh-CN"/>
        </w:rPr>
      </w:pPr>
      <w:r>
        <w:rPr>
          <w:rFonts w:hint="default" w:ascii="宋体" w:hAnsi="宋体" w:cs="宋体"/>
          <w:highlight w:val="none"/>
          <w:lang w:val="en-US" w:eastAsia="zh-CN"/>
        </w:rPr>
        <w:t>门禁控制器：</w:t>
      </w:r>
      <w:r>
        <w:rPr>
          <w:rFonts w:hint="eastAsia" w:ascii="宋体" w:hAnsi="宋体" w:cs="宋体"/>
          <w:highlight w:val="none"/>
          <w:lang w:val="en-US" w:eastAsia="zh-CN"/>
        </w:rPr>
        <w:t>安装于机房机柜内</w:t>
      </w:r>
      <w:r>
        <w:rPr>
          <w:rFonts w:hint="default" w:ascii="宋体" w:hAnsi="宋体" w:cs="宋体"/>
          <w:highlight w:val="none"/>
          <w:lang w:val="en-US" w:eastAsia="zh-CN"/>
        </w:rPr>
        <w:t>，用于对门禁设备进行控制和管理</w:t>
      </w:r>
      <w:r>
        <w:rPr>
          <w:rFonts w:hint="eastAsia" w:ascii="宋体" w:hAnsi="宋体" w:cs="宋体"/>
          <w:highlight w:val="none"/>
          <w:lang w:val="en-US" w:eastAsia="zh-CN"/>
        </w:rPr>
        <w:t>；</w:t>
      </w:r>
    </w:p>
    <w:p>
      <w:pPr>
        <w:numPr>
          <w:ilvl w:val="0"/>
          <w:numId w:val="12"/>
        </w:numPr>
        <w:spacing w:before="163" w:after="163"/>
        <w:ind w:left="425" w:leftChars="0" w:hanging="425" w:firstLineChars="0"/>
        <w:rPr>
          <w:rFonts w:hint="eastAsia" w:ascii="宋体" w:hAnsi="宋体" w:cs="宋体"/>
          <w:highlight w:val="none"/>
          <w:lang w:val="en-US" w:eastAsia="zh-CN"/>
        </w:rPr>
      </w:pPr>
      <w:r>
        <w:rPr>
          <w:rFonts w:hint="default" w:ascii="宋体" w:hAnsi="宋体" w:cs="宋体"/>
          <w:highlight w:val="none"/>
          <w:lang w:val="en-US" w:eastAsia="zh-CN"/>
        </w:rPr>
        <w:t>门禁读卡器：安装在</w:t>
      </w:r>
      <w:r>
        <w:rPr>
          <w:rFonts w:hint="eastAsia" w:ascii="宋体" w:hAnsi="宋体" w:cs="宋体"/>
          <w:highlight w:val="none"/>
          <w:lang w:val="en-US" w:eastAsia="zh-CN"/>
        </w:rPr>
        <w:t>通道</w:t>
      </w:r>
      <w:r>
        <w:rPr>
          <w:rFonts w:hint="default" w:ascii="宋体" w:hAnsi="宋体" w:cs="宋体"/>
          <w:highlight w:val="none"/>
          <w:lang w:val="en-US" w:eastAsia="zh-CN"/>
        </w:rPr>
        <w:t>门</w:t>
      </w:r>
      <w:r>
        <w:rPr>
          <w:rFonts w:hint="eastAsia" w:ascii="宋体" w:hAnsi="宋体" w:cs="宋体"/>
          <w:highlight w:val="none"/>
          <w:lang w:val="en-US" w:eastAsia="zh-CN"/>
        </w:rPr>
        <w:t>附近</w:t>
      </w:r>
      <w:r>
        <w:rPr>
          <w:rFonts w:hint="default" w:ascii="宋体" w:hAnsi="宋体" w:cs="宋体"/>
          <w:highlight w:val="none"/>
          <w:lang w:val="en-US" w:eastAsia="zh-CN"/>
        </w:rPr>
        <w:t>，用于读取授权用户的身份证或门禁卡信息，判断用户是否有权进入</w:t>
      </w:r>
      <w:r>
        <w:rPr>
          <w:rFonts w:hint="eastAsia" w:ascii="宋体" w:hAnsi="宋体" w:cs="宋体"/>
          <w:highlight w:val="none"/>
          <w:lang w:val="en-US" w:eastAsia="zh-CN"/>
        </w:rPr>
        <w:t>；</w:t>
      </w:r>
    </w:p>
    <w:p>
      <w:pPr>
        <w:numPr>
          <w:ilvl w:val="0"/>
          <w:numId w:val="12"/>
        </w:numPr>
        <w:spacing w:before="163" w:after="163"/>
        <w:ind w:left="425" w:leftChars="0" w:hanging="425" w:firstLineChars="0"/>
        <w:rPr>
          <w:rFonts w:hint="default" w:ascii="宋体" w:hAnsi="宋体" w:cs="宋体"/>
          <w:highlight w:val="none"/>
          <w:lang w:val="en-US" w:eastAsia="zh-CN"/>
        </w:rPr>
      </w:pPr>
      <w:r>
        <w:rPr>
          <w:rFonts w:hint="eastAsia" w:ascii="宋体" w:hAnsi="宋体" w:cs="宋体"/>
          <w:highlight w:val="none"/>
          <w:lang w:val="en-US" w:eastAsia="zh-CN"/>
        </w:rPr>
        <w:t>开门按钮：主要作用是方便授权人员或紧急情况下的人员快速进出门禁区域，以提高门禁系统的灵活性和便捷性；</w:t>
      </w:r>
    </w:p>
    <w:p>
      <w:pPr>
        <w:numPr>
          <w:ilvl w:val="0"/>
          <w:numId w:val="12"/>
        </w:numPr>
        <w:spacing w:before="163" w:after="163"/>
        <w:ind w:left="425" w:leftChars="0" w:hanging="425" w:firstLineChars="0"/>
        <w:rPr>
          <w:rFonts w:hint="eastAsia" w:ascii="宋体" w:hAnsi="宋体" w:cs="宋体"/>
          <w:highlight w:val="none"/>
          <w:lang w:val="en-US" w:eastAsia="zh-CN"/>
        </w:rPr>
      </w:pPr>
      <w:r>
        <w:rPr>
          <w:rFonts w:hint="eastAsia" w:ascii="宋体" w:hAnsi="宋体" w:cs="宋体"/>
          <w:highlight w:val="none"/>
          <w:lang w:val="en-US" w:eastAsia="zh-CN"/>
        </w:rPr>
        <w:t>管理电脑</w:t>
      </w:r>
      <w:r>
        <w:rPr>
          <w:rFonts w:hint="default" w:ascii="宋体" w:hAnsi="宋体" w:cs="宋体"/>
          <w:highlight w:val="none"/>
          <w:lang w:val="en-US" w:eastAsia="zh-CN"/>
        </w:rPr>
        <w:t>：负责对门禁系统进行配置、管理和监控</w:t>
      </w:r>
      <w:r>
        <w:rPr>
          <w:rFonts w:hint="eastAsia" w:ascii="宋体" w:hAnsi="宋体" w:cs="宋体"/>
          <w:highlight w:val="none"/>
          <w:lang w:val="en-US" w:eastAsia="zh-CN"/>
        </w:rPr>
        <w:t>，</w:t>
      </w:r>
      <w:r>
        <w:rPr>
          <w:rFonts w:hint="default" w:ascii="宋体" w:hAnsi="宋体" w:cs="宋体"/>
          <w:highlight w:val="none"/>
          <w:lang w:val="en-US" w:eastAsia="zh-CN"/>
        </w:rPr>
        <w:t>可以实现对用户权限、出入记录、报警等的管理和查询</w:t>
      </w:r>
      <w:r>
        <w:rPr>
          <w:rFonts w:hint="eastAsia" w:ascii="宋体" w:hAnsi="宋体" w:cs="宋体"/>
          <w:highlight w:val="none"/>
          <w:lang w:val="en-US" w:eastAsia="zh-CN"/>
        </w:rPr>
        <w:t>；</w:t>
      </w:r>
    </w:p>
    <w:p>
      <w:pPr>
        <w:numPr>
          <w:ilvl w:val="0"/>
          <w:numId w:val="12"/>
        </w:numPr>
        <w:spacing w:before="163" w:after="163"/>
        <w:ind w:left="425" w:leftChars="0" w:hanging="425" w:firstLineChars="0"/>
        <w:rPr>
          <w:rFonts w:hint="eastAsia" w:ascii="宋体" w:hAnsi="宋体" w:cs="宋体"/>
          <w:highlight w:val="none"/>
          <w:lang w:val="en-US" w:eastAsia="zh-CN"/>
        </w:rPr>
      </w:pPr>
      <w:r>
        <w:rPr>
          <w:rFonts w:hint="default" w:ascii="宋体" w:hAnsi="宋体" w:cs="宋体"/>
          <w:highlight w:val="none"/>
          <w:lang w:val="en-US" w:eastAsia="zh-CN"/>
        </w:rPr>
        <w:t>门禁门禁卡：授权用户持有的具有特殊识别信息的门禁卡片，用于与门禁读卡器进行识别和验证</w:t>
      </w:r>
      <w:r>
        <w:rPr>
          <w:rFonts w:hint="eastAsia" w:ascii="宋体" w:hAnsi="宋体" w:cs="宋体"/>
          <w:highlight w:val="none"/>
          <w:lang w:val="en-US" w:eastAsia="zh-CN"/>
        </w:rPr>
        <w:t>；</w:t>
      </w:r>
    </w:p>
    <w:p>
      <w:pPr>
        <w:numPr>
          <w:ilvl w:val="0"/>
          <w:numId w:val="12"/>
        </w:numPr>
        <w:spacing w:before="163" w:after="163"/>
        <w:ind w:left="425" w:leftChars="0" w:hanging="425" w:firstLineChars="0"/>
        <w:rPr>
          <w:rFonts w:hint="default" w:ascii="宋体" w:hAnsi="宋体" w:cs="宋体"/>
          <w:highlight w:val="none"/>
          <w:lang w:val="en-US" w:eastAsia="zh-CN"/>
        </w:rPr>
      </w:pPr>
      <w:r>
        <w:rPr>
          <w:rFonts w:hint="eastAsia" w:ascii="宋体" w:hAnsi="宋体" w:cs="宋体"/>
          <w:highlight w:val="none"/>
          <w:lang w:val="en-US" w:eastAsia="zh-CN"/>
        </w:rPr>
        <w:t>交换机</w:t>
      </w:r>
      <w:r>
        <w:rPr>
          <w:rFonts w:hint="default" w:ascii="宋体" w:hAnsi="宋体" w:cs="宋体"/>
          <w:highlight w:val="none"/>
          <w:lang w:val="en-US" w:eastAsia="zh-CN"/>
        </w:rPr>
        <w:t>：用于连接门禁控制器、读卡器、门禁管理</w:t>
      </w:r>
      <w:r>
        <w:rPr>
          <w:rFonts w:hint="eastAsia" w:ascii="宋体" w:hAnsi="宋体" w:cs="宋体"/>
          <w:highlight w:val="none"/>
          <w:lang w:val="en-US" w:eastAsia="zh-CN"/>
        </w:rPr>
        <w:t>电脑</w:t>
      </w:r>
      <w:r>
        <w:rPr>
          <w:rFonts w:hint="default" w:ascii="宋体" w:hAnsi="宋体" w:cs="宋体"/>
          <w:highlight w:val="none"/>
          <w:lang w:val="en-US" w:eastAsia="zh-CN"/>
        </w:rPr>
        <w:t>等设备，建立局域网</w:t>
      </w:r>
      <w:r>
        <w:rPr>
          <w:rFonts w:hint="eastAsia" w:ascii="宋体" w:hAnsi="宋体" w:cs="宋体"/>
          <w:highlight w:val="none"/>
          <w:lang w:val="en-US" w:eastAsia="zh-CN"/>
        </w:rPr>
        <w:t>。</w:t>
      </w:r>
    </w:p>
    <w:p>
      <w:pPr>
        <w:spacing w:before="163" w:after="163"/>
        <w:ind w:firstLine="480"/>
        <w:rPr>
          <w:rFonts w:hint="eastAsia" w:ascii="宋体" w:hAnsi="宋体" w:cs="宋体"/>
          <w:highlight w:val="none"/>
          <w:lang w:val="en-US" w:eastAsia="zh-CN"/>
        </w:rPr>
      </w:pPr>
      <w:r>
        <w:rPr>
          <w:rFonts w:hint="default" w:ascii="宋体" w:hAnsi="宋体" w:cs="宋体"/>
          <w:highlight w:val="none"/>
          <w:lang w:val="en-US" w:eastAsia="zh-CN"/>
        </w:rPr>
        <w:t>总体来说，门禁系统的拓扑图可以是一个以门禁控制器为中心，配备读卡器、</w:t>
      </w:r>
      <w:r>
        <w:rPr>
          <w:rFonts w:hint="eastAsia" w:ascii="宋体" w:hAnsi="宋体" w:cs="宋体"/>
          <w:highlight w:val="none"/>
          <w:lang w:val="en-US" w:eastAsia="zh-CN"/>
        </w:rPr>
        <w:t>开门按钮</w:t>
      </w:r>
      <w:r>
        <w:rPr>
          <w:rFonts w:hint="default" w:ascii="宋体" w:hAnsi="宋体" w:cs="宋体"/>
          <w:highlight w:val="none"/>
          <w:lang w:val="en-US" w:eastAsia="zh-CN"/>
        </w:rPr>
        <w:t>，通过网络设备连接到门禁管理</w:t>
      </w:r>
      <w:r>
        <w:rPr>
          <w:rFonts w:hint="eastAsia" w:ascii="宋体" w:hAnsi="宋体" w:cs="宋体"/>
          <w:highlight w:val="none"/>
          <w:lang w:val="en-US" w:eastAsia="zh-CN"/>
        </w:rPr>
        <w:t>电脑</w:t>
      </w:r>
      <w:r>
        <w:rPr>
          <w:rFonts w:hint="default" w:ascii="宋体" w:hAnsi="宋体" w:cs="宋体"/>
          <w:highlight w:val="none"/>
          <w:lang w:val="en-US" w:eastAsia="zh-CN"/>
        </w:rPr>
        <w:t>的网络拓扑结构。</w:t>
      </w:r>
    </w:p>
    <w:p>
      <w:pPr>
        <w:pStyle w:val="5"/>
        <w:bidi w:val="0"/>
        <w:ind w:left="480" w:leftChars="0" w:firstLine="0" w:firstLineChars="0"/>
        <w:rPr>
          <w:highlight w:val="none"/>
        </w:rPr>
      </w:pPr>
      <w:r>
        <w:rPr>
          <w:rFonts w:hint="eastAsia" w:ascii="宋体" w:hAnsi="宋体" w:cs="宋体"/>
          <w:highlight w:val="none"/>
          <w:lang w:val="en-US" w:eastAsia="zh-CN"/>
        </w:rPr>
        <w:t>设备部署情况</w:t>
      </w:r>
    </w:p>
    <w:p>
      <w:pPr>
        <w:spacing w:before="163" w:after="163"/>
        <w:ind w:firstLine="480"/>
        <w:rPr>
          <w:rFonts w:hint="eastAsia" w:ascii="宋体" w:hAnsi="宋体" w:cs="宋体"/>
          <w:highlight w:val="none"/>
          <w:lang w:val="en-US" w:eastAsia="zh-CN"/>
        </w:rPr>
      </w:pPr>
      <w:r>
        <w:rPr>
          <w:rFonts w:hint="eastAsia" w:ascii="宋体" w:hAnsi="宋体" w:cs="宋体"/>
          <w:highlight w:val="none"/>
          <w:lang w:val="en-US" w:eastAsia="zh-CN"/>
        </w:rPr>
        <w:t>本次在机房区和指挥区两个门设置门禁管理系统，为节约建设预算，两个门统一采用一套双门门禁控制器进行管控，双门门禁控制器部署在机柜内。具体部署平面图如下：</w:t>
      </w:r>
    </w:p>
    <w:p>
      <w:pPr>
        <w:spacing w:before="163" w:after="163"/>
        <w:ind w:firstLine="480"/>
        <w:jc w:val="center"/>
        <w:rPr>
          <w:rFonts w:hint="eastAsia" w:ascii="宋体" w:hAnsi="宋体" w:cs="宋体"/>
          <w:highlight w:val="none"/>
          <w:lang w:val="en-US" w:eastAsia="zh-CN"/>
        </w:rPr>
      </w:pPr>
      <w:r>
        <w:rPr>
          <w:rFonts w:hint="eastAsia" w:ascii="黑体" w:hAnsi="黑体" w:eastAsia="黑体" w:cs="黑体"/>
          <w:sz w:val="22"/>
          <w:szCs w:val="22"/>
          <w:highlight w:val="none"/>
          <w:u w:val="single"/>
          <w:lang w:val="en-US" w:eastAsia="zh-CN"/>
        </w:rPr>
        <w:t>安全管理中心门禁系统平面图</w:t>
      </w:r>
      <w:r>
        <w:rPr>
          <w:rFonts w:hint="eastAsia" w:ascii="宋体" w:hAnsi="宋体" w:cs="宋体"/>
          <w:highlight w:val="none"/>
          <w:lang w:val="en-US" w:eastAsia="zh-CN"/>
        </w:rPr>
        <w:drawing>
          <wp:anchor distT="0" distB="0" distL="114300" distR="114300" simplePos="0" relativeHeight="251659264" behindDoc="0" locked="0" layoutInCell="1" allowOverlap="1">
            <wp:simplePos x="0" y="0"/>
            <wp:positionH relativeFrom="column">
              <wp:posOffset>32385</wp:posOffset>
            </wp:positionH>
            <wp:positionV relativeFrom="paragraph">
              <wp:posOffset>51435</wp:posOffset>
            </wp:positionV>
            <wp:extent cx="5276215" cy="6385560"/>
            <wp:effectExtent l="0" t="0" r="0" b="0"/>
            <wp:wrapSquare wrapText="bothSides"/>
            <wp:docPr id="61" name="图片 61" descr="门禁截图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门禁截图_1"/>
                    <pic:cNvPicPr>
                      <a:picLocks noChangeAspect="1"/>
                    </pic:cNvPicPr>
                  </pic:nvPicPr>
                  <pic:blipFill>
                    <a:blip r:embed="rId36"/>
                    <a:srcRect t="6730" b="7709"/>
                    <a:stretch>
                      <a:fillRect/>
                    </a:stretch>
                  </pic:blipFill>
                  <pic:spPr>
                    <a:xfrm>
                      <a:off x="0" y="0"/>
                      <a:ext cx="5276215" cy="638556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before="163" w:after="163"/>
        <w:ind w:left="-480" w:leftChars="-200" w:firstLine="0" w:firstLineChars="0"/>
        <w:jc w:val="center"/>
        <w:textAlignment w:val="auto"/>
        <w:rPr>
          <w:rFonts w:hint="eastAsia" w:eastAsia="宋体"/>
          <w:lang w:eastAsia="zh-CN"/>
        </w:rPr>
      </w:pPr>
    </w:p>
    <w:p>
      <w:pPr>
        <w:pStyle w:val="4"/>
        <w:bidi w:val="0"/>
        <w:ind w:left="482" w:leftChars="0" w:hanging="425" w:firstLineChars="0"/>
        <w:rPr>
          <w:highlight w:val="none"/>
        </w:rPr>
      </w:pPr>
      <w:bookmarkStart w:id="56" w:name="_Toc18557"/>
      <w:r>
        <w:rPr>
          <w:rFonts w:hint="eastAsia"/>
          <w:highlight w:val="none"/>
          <w:lang w:val="en-US" w:eastAsia="zh-CN"/>
        </w:rPr>
        <w:t>视频监控系统</w:t>
      </w:r>
      <w:bookmarkEnd w:id="56"/>
    </w:p>
    <w:p>
      <w:pPr>
        <w:pStyle w:val="5"/>
        <w:bidi w:val="0"/>
        <w:ind w:left="480" w:leftChars="0" w:firstLine="0" w:firstLineChars="0"/>
        <w:rPr>
          <w:rFonts w:hint="eastAsia"/>
          <w:highlight w:val="none"/>
          <w:lang w:val="en-US" w:eastAsia="zh-CN"/>
        </w:rPr>
      </w:pPr>
      <w:r>
        <w:rPr>
          <w:rFonts w:hint="eastAsia"/>
          <w:highlight w:val="none"/>
          <w:lang w:val="en-US" w:eastAsia="zh-CN"/>
        </w:rPr>
        <w:t>系统功能</w:t>
      </w:r>
    </w:p>
    <w:p>
      <w:pPr>
        <w:spacing w:before="163" w:after="163"/>
        <w:ind w:firstLine="480"/>
        <w:rPr>
          <w:rFonts w:hint="eastAsia" w:ascii="宋体" w:hAnsi="宋体" w:cs="宋体"/>
          <w:highlight w:val="none"/>
        </w:rPr>
      </w:pPr>
      <w:r>
        <w:rPr>
          <w:rFonts w:hint="default" w:ascii="宋体" w:hAnsi="宋体" w:cs="宋体"/>
          <w:highlight w:val="none"/>
        </w:rPr>
        <w:t>机房视频监控系统的意义主要体现在以下几个方面：</w:t>
      </w:r>
    </w:p>
    <w:p>
      <w:pPr>
        <w:spacing w:before="163" w:after="163"/>
        <w:ind w:firstLine="480"/>
        <w:rPr>
          <w:rFonts w:hint="eastAsia" w:ascii="宋体" w:hAnsi="宋体" w:cs="宋体"/>
          <w:highlight w:val="none"/>
        </w:rPr>
      </w:pPr>
      <w:r>
        <w:rPr>
          <w:rFonts w:hint="default" w:ascii="宋体" w:hAnsi="宋体" w:cs="宋体"/>
          <w:highlight w:val="none"/>
        </w:rPr>
        <w:t>安全防护：机房是存放重要设备和数据的关键场所，视频监控系统可以实时监测机房内的情况，及时发现和报警异常行为或入侵，提供安全保障。</w:t>
      </w:r>
    </w:p>
    <w:p>
      <w:pPr>
        <w:spacing w:before="163" w:after="163"/>
        <w:ind w:firstLine="480"/>
        <w:rPr>
          <w:rFonts w:hint="eastAsia" w:ascii="宋体" w:hAnsi="宋体" w:cs="宋体"/>
          <w:highlight w:val="none"/>
        </w:rPr>
      </w:pPr>
      <w:r>
        <w:rPr>
          <w:rFonts w:hint="default" w:ascii="宋体" w:hAnsi="宋体" w:cs="宋体"/>
          <w:highlight w:val="none"/>
        </w:rPr>
        <w:t>灾难恢复：监控系统可以记录下发生的灾难或事故过程，为事后分析和调查提供重要依据，帮助恢复和防止类似事件再次发生。</w:t>
      </w:r>
    </w:p>
    <w:p>
      <w:pPr>
        <w:spacing w:before="163" w:after="163"/>
        <w:ind w:firstLine="480"/>
        <w:rPr>
          <w:rFonts w:hint="eastAsia" w:ascii="宋体" w:hAnsi="宋体" w:cs="宋体"/>
          <w:highlight w:val="none"/>
        </w:rPr>
      </w:pPr>
      <w:r>
        <w:rPr>
          <w:rFonts w:hint="default" w:ascii="宋体" w:hAnsi="宋体" w:cs="宋体"/>
          <w:highlight w:val="none"/>
        </w:rPr>
        <w:t>远程监控：通过视频监控系统，管理员可以远程监控机房的情况，无论身在何处都能掌握机房的实时状态，及时发现并处理问题，提高响应速度。</w:t>
      </w:r>
    </w:p>
    <w:p>
      <w:pPr>
        <w:spacing w:before="163" w:after="163"/>
        <w:ind w:firstLine="480"/>
        <w:rPr>
          <w:rFonts w:hint="eastAsia" w:ascii="宋体" w:hAnsi="宋体" w:cs="宋体"/>
          <w:highlight w:val="none"/>
        </w:rPr>
      </w:pPr>
      <w:r>
        <w:rPr>
          <w:rFonts w:hint="default" w:ascii="宋体" w:hAnsi="宋体" w:cs="宋体"/>
          <w:highlight w:val="none"/>
        </w:rPr>
        <w:t>违规行为监管：视频监控系统可以监测机房内的员工行为，避免违规操作和滥用权限，提高机房的管理水平和效率。</w:t>
      </w:r>
    </w:p>
    <w:p>
      <w:pPr>
        <w:spacing w:before="163" w:after="163"/>
        <w:ind w:firstLine="480"/>
        <w:rPr>
          <w:rFonts w:hint="eastAsia" w:ascii="宋体" w:hAnsi="宋体" w:cs="宋体"/>
          <w:highlight w:val="none"/>
        </w:rPr>
      </w:pPr>
      <w:r>
        <w:rPr>
          <w:rFonts w:hint="default" w:ascii="宋体" w:hAnsi="宋体" w:cs="宋体"/>
          <w:highlight w:val="none"/>
        </w:rPr>
        <w:t>记录和证据保存：监控系统可以记录下机房内的各种活动，作为证据用于纠纷解决、责任追究等方面，有助于维护机房内部的秩序和权益。</w:t>
      </w:r>
    </w:p>
    <w:p>
      <w:pPr>
        <w:spacing w:before="163" w:after="163"/>
        <w:ind w:firstLine="480"/>
        <w:rPr>
          <w:rFonts w:hint="default" w:ascii="宋体" w:hAnsi="宋体" w:cs="宋体"/>
          <w:highlight w:val="none"/>
        </w:rPr>
      </w:pPr>
      <w:r>
        <w:rPr>
          <w:rFonts w:hint="default" w:ascii="宋体" w:hAnsi="宋体" w:cs="宋体"/>
          <w:highlight w:val="none"/>
        </w:rPr>
        <w:t>综上所述，机房视频监控系统不仅提供了对机房安全的全天候保护，还提高了机房管理的远程可控性和效率，对于机房的正常运行和保障具有重要意义。</w:t>
      </w:r>
    </w:p>
    <w:p>
      <w:pPr>
        <w:pStyle w:val="5"/>
        <w:bidi w:val="0"/>
        <w:ind w:left="480" w:leftChars="0" w:firstLine="0" w:firstLineChars="0"/>
        <w:rPr>
          <w:rFonts w:hint="eastAsia"/>
          <w:highlight w:val="none"/>
          <w:lang w:val="en-US" w:eastAsia="zh-CN"/>
        </w:rPr>
      </w:pPr>
      <w:r>
        <w:rPr>
          <w:rFonts w:hint="eastAsia"/>
          <w:highlight w:val="none"/>
          <w:lang w:val="en-US" w:eastAsia="zh-CN"/>
        </w:rPr>
        <w:t>系统架构</w:t>
      </w:r>
    </w:p>
    <w:p>
      <w:pPr>
        <w:spacing w:before="163" w:after="163"/>
        <w:ind w:firstLine="480"/>
        <w:rPr>
          <w:rFonts w:hint="eastAsia" w:ascii="宋体" w:hAnsi="宋体" w:cs="宋体"/>
          <w:highlight w:val="none"/>
          <w:lang w:val="en-US" w:eastAsia="zh-CN"/>
        </w:rPr>
      </w:pPr>
      <w:r>
        <w:rPr>
          <w:rFonts w:hint="eastAsia" w:ascii="宋体" w:hAnsi="宋体" w:cs="宋体"/>
          <w:highlight w:val="none"/>
        </w:rPr>
        <w:t>监控系统由摄像机、数字硬盘录像机、硬盘和交换机组成。摄像机设置在监控中心内部，主要对出入人员和机房重要设备的实时录像。因机房视频的重要性，该路摄像机计划不接入学校视频专网，单独配置一台8口</w:t>
      </w:r>
      <w:r>
        <w:rPr>
          <w:rFonts w:hint="eastAsia" w:ascii="宋体" w:hAnsi="宋体" w:cs="宋体"/>
          <w:highlight w:val="none"/>
          <w:lang w:val="en-US" w:eastAsia="zh-CN"/>
        </w:rPr>
        <w:t>POE</w:t>
      </w:r>
      <w:r>
        <w:rPr>
          <w:rFonts w:hint="eastAsia" w:ascii="宋体" w:hAnsi="宋体" w:cs="宋体"/>
          <w:highlight w:val="none"/>
        </w:rPr>
        <w:t>交换机（可与机房门禁系统共用），并配置一台网络硬盘录像机进行管理和存储。</w:t>
      </w:r>
      <w:r>
        <w:rPr>
          <w:rFonts w:hint="eastAsia" w:ascii="宋体" w:hAnsi="宋体" w:cs="宋体"/>
          <w:highlight w:val="none"/>
          <w:lang w:val="en-US" w:eastAsia="zh-CN"/>
        </w:rPr>
        <w:t>具体拓扑如下：</w:t>
      </w:r>
    </w:p>
    <w:p>
      <w:pPr>
        <w:spacing w:before="163" w:after="163"/>
        <w:jc w:val="center"/>
        <w:rPr>
          <w:rFonts w:hint="default" w:ascii="宋体" w:hAnsi="宋体" w:cs="宋体"/>
          <w:highlight w:val="none"/>
          <w:lang w:val="en-US" w:eastAsia="zh-CN"/>
        </w:rPr>
      </w:pPr>
      <w:r>
        <w:rPr>
          <w:rFonts w:hint="default" w:ascii="宋体" w:hAnsi="宋体" w:cs="宋体"/>
          <w:highlight w:val="none"/>
          <w:lang w:val="en-US" w:eastAsia="zh-CN"/>
        </w:rPr>
        <w:drawing>
          <wp:inline distT="0" distB="0" distL="114300" distR="114300">
            <wp:extent cx="3923665" cy="2136775"/>
            <wp:effectExtent l="0" t="0" r="635" b="15875"/>
            <wp:docPr id="30" name="图片 30" descr="9207c0ed-773e-433f-8c68-f5d1c1be47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9207c0ed-773e-433f-8c68-f5d1c1be47372"/>
                    <pic:cNvPicPr>
                      <a:picLocks noChangeAspect="1"/>
                    </pic:cNvPicPr>
                  </pic:nvPicPr>
                  <pic:blipFill>
                    <a:blip r:embed="rId37"/>
                    <a:stretch>
                      <a:fillRect/>
                    </a:stretch>
                  </pic:blipFill>
                  <pic:spPr>
                    <a:xfrm>
                      <a:off x="0" y="0"/>
                      <a:ext cx="3923665" cy="2136775"/>
                    </a:xfrm>
                    <a:prstGeom prst="rect">
                      <a:avLst/>
                    </a:prstGeom>
                  </pic:spPr>
                </pic:pic>
              </a:graphicData>
            </a:graphic>
          </wp:inline>
        </w:drawing>
      </w:r>
    </w:p>
    <w:p>
      <w:pPr>
        <w:ind w:left="0" w:leftChars="0" w:firstLine="0" w:firstLineChars="0"/>
        <w:jc w:val="center"/>
        <w:rPr>
          <w:rFonts w:hint="default" w:ascii="黑体" w:hAnsi="黑体" w:eastAsia="黑体" w:cs="黑体"/>
          <w:sz w:val="22"/>
          <w:szCs w:val="22"/>
          <w:highlight w:val="none"/>
          <w:u w:val="single"/>
          <w:lang w:val="en-US" w:eastAsia="zh-CN"/>
        </w:rPr>
      </w:pPr>
      <w:r>
        <w:rPr>
          <w:rFonts w:hint="eastAsia" w:ascii="黑体" w:hAnsi="黑体" w:eastAsia="黑体" w:cs="黑体"/>
          <w:sz w:val="22"/>
          <w:szCs w:val="22"/>
          <w:highlight w:val="none"/>
          <w:u w:val="single"/>
          <w:lang w:val="en-US" w:eastAsia="zh-CN"/>
        </w:rPr>
        <w:t>视频监控系统拓扑图</w:t>
      </w:r>
    </w:p>
    <w:p>
      <w:pPr>
        <w:numPr>
          <w:ilvl w:val="0"/>
          <w:numId w:val="12"/>
        </w:numPr>
        <w:spacing w:before="163" w:after="163"/>
        <w:ind w:left="425" w:leftChars="0" w:hanging="425" w:firstLineChars="0"/>
        <w:rPr>
          <w:rFonts w:hint="eastAsia" w:ascii="宋体" w:hAnsi="宋体" w:cs="宋体"/>
          <w:highlight w:val="none"/>
          <w:lang w:eastAsia="zh-CN"/>
        </w:rPr>
      </w:pPr>
      <w:r>
        <w:rPr>
          <w:rFonts w:hint="eastAsia" w:ascii="宋体" w:hAnsi="宋体" w:cs="宋体"/>
          <w:highlight w:val="none"/>
        </w:rPr>
        <w:t>监控摄像头：位于机房内部</w:t>
      </w:r>
      <w:r>
        <w:rPr>
          <w:rFonts w:hint="eastAsia" w:ascii="宋体" w:hAnsi="宋体" w:cs="宋体"/>
          <w:highlight w:val="none"/>
          <w:lang w:val="en-US" w:eastAsia="zh-CN"/>
        </w:rPr>
        <w:t>和操作区内部</w:t>
      </w:r>
      <w:r>
        <w:rPr>
          <w:rFonts w:hint="eastAsia" w:ascii="宋体" w:hAnsi="宋体" w:cs="宋体"/>
          <w:highlight w:val="none"/>
        </w:rPr>
        <w:t>多个监控摄像头，用于实时监控机房</w:t>
      </w:r>
      <w:r>
        <w:rPr>
          <w:rFonts w:hint="eastAsia" w:ascii="宋体" w:hAnsi="宋体" w:cs="宋体"/>
          <w:highlight w:val="none"/>
          <w:lang w:val="en-US" w:eastAsia="zh-CN"/>
        </w:rPr>
        <w:t>和操作区</w:t>
      </w:r>
      <w:r>
        <w:rPr>
          <w:rFonts w:hint="eastAsia" w:ascii="宋体" w:hAnsi="宋体" w:cs="宋体"/>
          <w:highlight w:val="none"/>
        </w:rPr>
        <w:t>的情况</w:t>
      </w:r>
      <w:r>
        <w:rPr>
          <w:rFonts w:hint="eastAsia" w:ascii="宋体" w:hAnsi="宋体" w:cs="宋体"/>
          <w:highlight w:val="none"/>
          <w:lang w:eastAsia="zh-CN"/>
        </w:rPr>
        <w:t>；</w:t>
      </w:r>
    </w:p>
    <w:p>
      <w:pPr>
        <w:numPr>
          <w:ilvl w:val="0"/>
          <w:numId w:val="12"/>
        </w:numPr>
        <w:spacing w:before="163" w:after="163"/>
        <w:ind w:left="425" w:leftChars="0" w:hanging="425" w:firstLineChars="0"/>
        <w:rPr>
          <w:rFonts w:hint="eastAsia" w:ascii="宋体" w:hAnsi="宋体" w:cs="宋体"/>
          <w:highlight w:val="none"/>
          <w:lang w:eastAsia="zh-CN"/>
        </w:rPr>
      </w:pPr>
      <w:r>
        <w:rPr>
          <w:rFonts w:hint="default" w:ascii="宋体" w:hAnsi="宋体" w:cs="宋体"/>
          <w:highlight w:val="none"/>
        </w:rPr>
        <w:t>网络交换机：用于</w:t>
      </w:r>
      <w:r>
        <w:rPr>
          <w:rFonts w:hint="eastAsia" w:ascii="宋体" w:hAnsi="宋体" w:cs="宋体"/>
          <w:highlight w:val="none"/>
          <w:lang w:val="en-US" w:eastAsia="zh-CN"/>
        </w:rPr>
        <w:t>建立局域网，传输视频图像信号，本项目选用POE交换机，还可为监控摄像头进行供电；</w:t>
      </w:r>
    </w:p>
    <w:p>
      <w:pPr>
        <w:numPr>
          <w:ilvl w:val="0"/>
          <w:numId w:val="12"/>
        </w:numPr>
        <w:spacing w:before="163" w:after="163"/>
        <w:ind w:left="425" w:leftChars="0" w:hanging="425" w:firstLineChars="0"/>
        <w:rPr>
          <w:rFonts w:hint="default" w:ascii="宋体" w:hAnsi="宋体" w:eastAsia="宋体" w:cs="宋体"/>
          <w:highlight w:val="none"/>
          <w:lang w:val="en-US" w:eastAsia="zh-CN"/>
        </w:rPr>
      </w:pPr>
      <w:r>
        <w:rPr>
          <w:rFonts w:hint="eastAsia" w:ascii="宋体" w:hAnsi="宋体" w:cs="宋体"/>
          <w:highlight w:val="none"/>
          <w:lang w:val="en-US" w:eastAsia="zh-CN"/>
        </w:rPr>
        <w:t>网络硬盘录像机</w:t>
      </w:r>
      <w:r>
        <w:rPr>
          <w:rFonts w:hint="default" w:ascii="宋体" w:hAnsi="宋体" w:cs="宋体"/>
          <w:highlight w:val="none"/>
        </w:rPr>
        <w:t>：提供实时视频监控</w:t>
      </w:r>
      <w:r>
        <w:rPr>
          <w:rFonts w:hint="eastAsia" w:ascii="宋体" w:hAnsi="宋体" w:cs="宋体"/>
          <w:highlight w:val="none"/>
          <w:lang w:eastAsia="zh-CN"/>
        </w:rPr>
        <w:t>、</w:t>
      </w:r>
      <w:r>
        <w:rPr>
          <w:rFonts w:hint="default" w:ascii="宋体" w:hAnsi="宋体" w:cs="宋体"/>
          <w:highlight w:val="none"/>
        </w:rPr>
        <w:t>录像回放</w:t>
      </w:r>
      <w:r>
        <w:rPr>
          <w:rFonts w:hint="eastAsia" w:ascii="宋体" w:hAnsi="宋体" w:cs="宋体"/>
          <w:highlight w:val="none"/>
          <w:lang w:eastAsia="zh-CN"/>
        </w:rPr>
        <w:t>、</w:t>
      </w:r>
      <w:r>
        <w:rPr>
          <w:rFonts w:hint="eastAsia" w:ascii="宋体" w:hAnsi="宋体" w:cs="宋体"/>
          <w:highlight w:val="none"/>
          <w:lang w:val="en-US" w:eastAsia="zh-CN"/>
        </w:rPr>
        <w:t>视频存储等功能；</w:t>
      </w:r>
    </w:p>
    <w:p>
      <w:pPr>
        <w:numPr>
          <w:ilvl w:val="0"/>
          <w:numId w:val="12"/>
        </w:numPr>
        <w:spacing w:before="163" w:after="163"/>
        <w:ind w:left="425" w:leftChars="0" w:hanging="425" w:firstLineChars="0"/>
        <w:rPr>
          <w:rFonts w:hint="eastAsia" w:ascii="宋体" w:hAnsi="宋体" w:eastAsia="宋体" w:cs="宋体"/>
          <w:highlight w:val="none"/>
          <w:lang w:eastAsia="zh-CN"/>
        </w:rPr>
      </w:pPr>
      <w:r>
        <w:rPr>
          <w:rFonts w:hint="default" w:ascii="宋体" w:hAnsi="宋体" w:cs="宋体"/>
          <w:highlight w:val="none"/>
        </w:rPr>
        <w:t>显示设备：用于显示实时监控的视频画面</w:t>
      </w:r>
      <w:r>
        <w:rPr>
          <w:rFonts w:hint="eastAsia" w:ascii="宋体" w:hAnsi="宋体" w:cs="宋体"/>
          <w:highlight w:val="none"/>
          <w:lang w:eastAsia="zh-CN"/>
        </w:rPr>
        <w:t>。</w:t>
      </w:r>
    </w:p>
    <w:p>
      <w:pPr>
        <w:pStyle w:val="5"/>
        <w:bidi w:val="0"/>
        <w:ind w:left="480" w:leftChars="0" w:firstLine="0" w:firstLineChars="0"/>
        <w:rPr>
          <w:rFonts w:hint="default" w:ascii="宋体" w:hAnsi="宋体" w:cs="宋体"/>
          <w:highlight w:val="none"/>
          <w:lang w:val="en-US" w:eastAsia="zh-CN"/>
        </w:rPr>
      </w:pPr>
      <w:r>
        <w:rPr>
          <w:rFonts w:hint="eastAsia" w:ascii="宋体" w:hAnsi="宋体" w:cs="宋体"/>
          <w:highlight w:val="none"/>
          <w:lang w:val="en-US" w:eastAsia="zh-CN"/>
        </w:rPr>
        <w:t>设备部署情况</w:t>
      </w:r>
    </w:p>
    <w:p>
      <w:pPr>
        <w:spacing w:before="163" w:after="163"/>
        <w:ind w:firstLine="480"/>
        <w:rPr>
          <w:rFonts w:hint="eastAsia" w:ascii="宋体" w:hAnsi="宋体" w:cs="宋体"/>
          <w:highlight w:val="none"/>
          <w:lang w:val="en-US" w:eastAsia="zh-CN"/>
        </w:rPr>
      </w:pPr>
      <w:r>
        <w:rPr>
          <w:rFonts w:hint="eastAsia" w:ascii="宋体" w:hAnsi="宋体" w:cs="宋体"/>
          <w:highlight w:val="none"/>
          <w:lang w:val="en-US" w:eastAsia="zh-CN"/>
        </w:rPr>
        <w:t>本次在机房区和指挥区分别设置一台室内红外半球摄像机，摄像机选型参数建议为：400万像素，最大分辨率：2688×1520，支持50m红外补光，镜头焦距：2.8mm。网络硬盘录像机用于视频管理和存储，部署于机柜内。具体设备部署平面图如下：</w:t>
      </w:r>
    </w:p>
    <w:p>
      <w:pPr>
        <w:keepNext w:val="0"/>
        <w:keepLines w:val="0"/>
        <w:pageBreakBefore w:val="0"/>
        <w:widowControl w:val="0"/>
        <w:kinsoku/>
        <w:wordWrap/>
        <w:overflowPunct/>
        <w:topLinePunct w:val="0"/>
        <w:autoSpaceDE/>
        <w:autoSpaceDN/>
        <w:bidi w:val="0"/>
        <w:adjustRightInd/>
        <w:snapToGrid/>
        <w:spacing w:before="163" w:after="163"/>
        <w:ind w:left="-240" w:leftChars="-100" w:firstLine="0" w:firstLineChars="0"/>
        <w:jc w:val="center"/>
        <w:textAlignment w:val="auto"/>
      </w:pPr>
      <w:r>
        <w:drawing>
          <wp:inline distT="0" distB="0" distL="114300" distR="114300">
            <wp:extent cx="4462145" cy="6111240"/>
            <wp:effectExtent l="0" t="0" r="0" b="0"/>
            <wp:docPr id="62" name="图片 62" descr="视频截图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视频截图_1"/>
                    <pic:cNvPicPr>
                      <a:picLocks noChangeAspect="1"/>
                    </pic:cNvPicPr>
                  </pic:nvPicPr>
                  <pic:blipFill>
                    <a:blip r:embed="rId38"/>
                    <a:srcRect l="5994" t="8483" r="9436" b="9632"/>
                    <a:stretch>
                      <a:fillRect/>
                    </a:stretch>
                  </pic:blipFill>
                  <pic:spPr>
                    <a:xfrm>
                      <a:off x="0" y="0"/>
                      <a:ext cx="4462145" cy="6111240"/>
                    </a:xfrm>
                    <a:prstGeom prst="rect">
                      <a:avLst/>
                    </a:prstGeom>
                  </pic:spPr>
                </pic:pic>
              </a:graphicData>
            </a:graphic>
          </wp:inline>
        </w:drawing>
      </w:r>
    </w:p>
    <w:p>
      <w:pPr>
        <w:ind w:left="0" w:leftChars="0" w:firstLine="0" w:firstLineChars="0"/>
        <w:jc w:val="center"/>
        <w:rPr>
          <w:rFonts w:hint="eastAsia" w:ascii="黑体" w:hAnsi="黑体" w:eastAsia="黑体" w:cs="黑体"/>
          <w:sz w:val="22"/>
          <w:szCs w:val="22"/>
          <w:highlight w:val="none"/>
          <w:u w:val="single"/>
          <w:lang w:val="en-US" w:eastAsia="zh-CN"/>
        </w:rPr>
      </w:pPr>
      <w:r>
        <w:rPr>
          <w:rFonts w:hint="eastAsia" w:ascii="黑体" w:hAnsi="黑体" w:eastAsia="黑体" w:cs="黑体"/>
          <w:sz w:val="22"/>
          <w:szCs w:val="22"/>
          <w:highlight w:val="none"/>
          <w:u w:val="single"/>
          <w:lang w:val="en-US" w:eastAsia="zh-CN"/>
        </w:rPr>
        <w:t>安全管理中心视频监控系统平面图</w:t>
      </w:r>
    </w:p>
    <w:p>
      <w:pPr>
        <w:pStyle w:val="3"/>
        <w:bidi w:val="0"/>
        <w:ind w:left="482" w:leftChars="0" w:hanging="425" w:firstLineChars="0"/>
        <w:rPr>
          <w:rFonts w:hint="eastAsia"/>
          <w:highlight w:val="none"/>
          <w:lang w:val="en-US" w:eastAsia="zh-CN"/>
        </w:rPr>
      </w:pPr>
      <w:bookmarkStart w:id="57" w:name="_Toc106831238"/>
      <w:bookmarkStart w:id="58" w:name="_Toc27569"/>
      <w:bookmarkStart w:id="59" w:name="_Toc25402"/>
      <w:r>
        <w:rPr>
          <w:rFonts w:hint="eastAsia"/>
          <w:highlight w:val="none"/>
          <w:lang w:val="en-US" w:eastAsia="zh-CN"/>
        </w:rPr>
        <w:t>自动气体灭火系统</w:t>
      </w:r>
      <w:bookmarkEnd w:id="57"/>
      <w:bookmarkEnd w:id="58"/>
      <w:bookmarkEnd w:id="59"/>
    </w:p>
    <w:p>
      <w:pPr>
        <w:spacing w:before="163" w:after="163" w:line="360" w:lineRule="auto"/>
        <w:ind w:firstLine="480" w:firstLineChars="200"/>
        <w:rPr>
          <w:rFonts w:ascii="宋体" w:hAnsi="宋体" w:eastAsia="宋体" w:cs="宋体"/>
          <w:sz w:val="24"/>
          <w:highlight w:val="none"/>
          <w:lang w:bidi="ar"/>
        </w:rPr>
      </w:pPr>
      <w:r>
        <w:rPr>
          <w:rFonts w:hint="eastAsia" w:ascii="宋体" w:hAnsi="宋体" w:eastAsia="宋体" w:cs="宋体"/>
          <w:sz w:val="24"/>
          <w:highlight w:val="none"/>
          <w:lang w:bidi="ar"/>
        </w:rPr>
        <w:t>七氟丙烷自动灭火系统由火灾报警、灭火控制系统和装置二大部分组成，灭火装置由灭火储存装置及管网系统两部分组成。</w:t>
      </w:r>
    </w:p>
    <w:p>
      <w:pPr>
        <w:pStyle w:val="4"/>
        <w:ind w:left="-400" w:leftChars="0" w:firstLine="640" w:firstLineChars="0"/>
        <w:rPr>
          <w:rFonts w:hint="eastAsia" w:ascii="宋体" w:hAnsi="宋体" w:cs="宋体"/>
          <w:szCs w:val="20"/>
          <w:highlight w:val="none"/>
          <w:lang w:val="en-US" w:eastAsia="zh-CN"/>
        </w:rPr>
      </w:pPr>
      <w:bookmarkStart w:id="60" w:name="_Toc7096"/>
      <w:r>
        <w:rPr>
          <w:rFonts w:hint="eastAsia" w:ascii="宋体" w:hAnsi="宋体" w:cs="宋体"/>
          <w:szCs w:val="20"/>
          <w:highlight w:val="none"/>
          <w:lang w:val="en-US" w:eastAsia="zh-CN"/>
        </w:rPr>
        <w:t>系统概述</w:t>
      </w:r>
      <w:bookmarkEnd w:id="60"/>
    </w:p>
    <w:p>
      <w:pPr>
        <w:spacing w:before="163" w:after="163" w:line="360" w:lineRule="auto"/>
        <w:ind w:firstLine="480" w:firstLineChars="200"/>
        <w:rPr>
          <w:rFonts w:ascii="宋体" w:hAnsi="宋体" w:eastAsia="宋体" w:cs="宋体"/>
          <w:sz w:val="24"/>
          <w:highlight w:val="none"/>
          <w:lang w:bidi="ar"/>
        </w:rPr>
      </w:pPr>
      <w:r>
        <w:rPr>
          <w:rFonts w:hint="eastAsia" w:ascii="宋体" w:hAnsi="宋体" w:eastAsia="宋体" w:cs="宋体"/>
          <w:sz w:val="24"/>
          <w:highlight w:val="none"/>
          <w:lang w:bidi="ar"/>
        </w:rPr>
        <w:t>储存瓶组是自动灭火系统用于储存及释放灭火剂的主要部件，按设计要求充装七氟丙烷和增压氮气。火灾发生时将灭火剂释放出去进行灭火。</w:t>
      </w:r>
    </w:p>
    <w:p>
      <w:pPr>
        <w:spacing w:before="163" w:after="163" w:line="360" w:lineRule="auto"/>
        <w:ind w:firstLine="480" w:firstLineChars="200"/>
        <w:rPr>
          <w:rFonts w:ascii="宋体" w:hAnsi="宋体" w:eastAsia="宋体" w:cs="宋体"/>
          <w:sz w:val="24"/>
          <w:highlight w:val="none"/>
          <w:lang w:bidi="ar"/>
        </w:rPr>
      </w:pPr>
      <w:r>
        <w:rPr>
          <w:rFonts w:hint="eastAsia" w:ascii="宋体" w:hAnsi="宋体" w:eastAsia="宋体" w:cs="宋体"/>
          <w:sz w:val="24"/>
          <w:highlight w:val="none"/>
          <w:lang w:bidi="ar"/>
        </w:rPr>
        <w:t>工作原理：七氟丙烷储存在容器瓶内，当发生火警时，来自驱动瓶组的控制气体使容器阀上的启动器动作，刀刺破容器阀的密封片使容器阀开启，七氟丙烷灭火剂通过虹吸管从容器阀出口释放。</w:t>
      </w:r>
    </w:p>
    <w:p>
      <w:pPr>
        <w:spacing w:before="163" w:after="163" w:line="360" w:lineRule="auto"/>
        <w:ind w:firstLine="480" w:firstLineChars="200"/>
        <w:rPr>
          <w:rFonts w:ascii="宋体" w:hAnsi="宋体" w:eastAsia="宋体" w:cs="宋体"/>
          <w:sz w:val="24"/>
          <w:highlight w:val="none"/>
          <w:lang w:bidi="ar"/>
        </w:rPr>
      </w:pPr>
      <w:r>
        <w:rPr>
          <w:rFonts w:hint="eastAsia" w:ascii="宋体" w:hAnsi="宋体" w:eastAsia="宋体" w:cs="宋体"/>
          <w:sz w:val="24"/>
          <w:highlight w:val="none"/>
          <w:lang w:bidi="ar"/>
        </w:rPr>
        <w:t>紧急情况时，可用手指拉住保险扣拉手，将保险扣拉出，拍击手动按钮，刀刺破容器阀的密封片使容器阀开启，直接释放出灭火剂，实施灭火。</w:t>
      </w:r>
    </w:p>
    <w:p>
      <w:pPr>
        <w:spacing w:before="163" w:after="163" w:line="360" w:lineRule="auto"/>
        <w:ind w:firstLine="480" w:firstLineChars="200"/>
        <w:rPr>
          <w:rFonts w:ascii="宋体" w:hAnsi="宋体" w:eastAsia="宋体" w:cs="宋体"/>
          <w:sz w:val="24"/>
          <w:highlight w:val="none"/>
          <w:lang w:bidi="ar"/>
        </w:rPr>
      </w:pPr>
      <w:r>
        <w:rPr>
          <w:rFonts w:hint="eastAsia" w:ascii="宋体" w:hAnsi="宋体" w:eastAsia="宋体" w:cs="宋体"/>
          <w:sz w:val="24"/>
          <w:highlight w:val="none"/>
          <w:lang w:bidi="ar"/>
        </w:rPr>
        <w:t>七氟丙烷灭火系统具有喷射后无残留物、药剂毒性低等优点，可安全地使用在有人场所。</w:t>
      </w:r>
    </w:p>
    <w:p>
      <w:pPr>
        <w:pStyle w:val="4"/>
        <w:ind w:left="-400" w:leftChars="0" w:firstLine="640" w:firstLineChars="0"/>
        <w:rPr>
          <w:rFonts w:hint="eastAsia" w:ascii="宋体" w:hAnsi="宋体" w:cs="宋体"/>
          <w:szCs w:val="20"/>
          <w:highlight w:val="none"/>
          <w:lang w:val="en-US" w:eastAsia="zh-CN"/>
        </w:rPr>
      </w:pPr>
      <w:bookmarkStart w:id="61" w:name="_Toc4244"/>
      <w:r>
        <w:rPr>
          <w:rFonts w:hint="eastAsia" w:ascii="宋体" w:hAnsi="宋体" w:cs="宋体"/>
          <w:szCs w:val="20"/>
          <w:highlight w:val="none"/>
          <w:lang w:val="en-US" w:eastAsia="zh-CN"/>
        </w:rPr>
        <w:t>系统组成</w:t>
      </w:r>
      <w:bookmarkEnd w:id="61"/>
    </w:p>
    <w:p>
      <w:pPr>
        <w:spacing w:before="163" w:after="163" w:line="360" w:lineRule="auto"/>
        <w:ind w:firstLine="480" w:firstLineChars="200"/>
        <w:rPr>
          <w:rFonts w:ascii="宋体" w:hAnsi="宋体" w:eastAsia="宋体" w:cs="宋体"/>
          <w:sz w:val="24"/>
          <w:highlight w:val="none"/>
          <w:lang w:bidi="ar"/>
        </w:rPr>
      </w:pPr>
      <w:r>
        <w:rPr>
          <w:rFonts w:hint="eastAsia" w:ascii="宋体" w:hAnsi="宋体" w:eastAsia="宋体" w:cs="宋体"/>
          <w:sz w:val="24"/>
          <w:highlight w:val="none"/>
          <w:lang w:bidi="ar"/>
        </w:rPr>
        <w:t>系统描述：由气体灭火控制器、光电感烟探测器、差定温探测器、手动报警按钮、声光报警器及灭火控制等部件组成，是实现火灾自动探测、自动报警并可自动实施喷放灭火控制的智能系统。</w:t>
      </w:r>
    </w:p>
    <w:p>
      <w:pPr>
        <w:numPr>
          <w:ilvl w:val="0"/>
          <w:numId w:val="13"/>
        </w:numPr>
        <w:spacing w:line="360" w:lineRule="auto"/>
        <w:ind w:left="480" w:leftChars="0" w:firstLine="0" w:firstLineChars="0"/>
        <w:rPr>
          <w:rFonts w:ascii="宋体" w:hAnsi="宋体" w:eastAsia="宋体" w:cs="Times New Roman"/>
          <w:b/>
          <w:sz w:val="24"/>
          <w:szCs w:val="24"/>
          <w:highlight w:val="none"/>
          <w:lang w:bidi="ar"/>
        </w:rPr>
      </w:pPr>
      <w:r>
        <w:rPr>
          <w:rFonts w:hint="eastAsia" w:ascii="宋体" w:hAnsi="宋体" w:eastAsia="宋体" w:cs="Times New Roman"/>
          <w:b/>
          <w:sz w:val="24"/>
          <w:szCs w:val="24"/>
          <w:highlight w:val="none"/>
          <w:lang w:bidi="ar"/>
        </w:rPr>
        <w:t>气体灭火控制器</w:t>
      </w:r>
    </w:p>
    <w:p>
      <w:pPr>
        <w:spacing w:before="163" w:after="163" w:line="360" w:lineRule="auto"/>
        <w:ind w:firstLine="480" w:firstLineChars="200"/>
        <w:rPr>
          <w:rFonts w:ascii="宋体" w:hAnsi="宋体" w:eastAsia="宋体" w:cs="宋体"/>
          <w:sz w:val="24"/>
          <w:highlight w:val="none"/>
          <w:lang w:bidi="ar"/>
        </w:rPr>
      </w:pPr>
      <w:r>
        <w:rPr>
          <w:rFonts w:hint="eastAsia" w:ascii="宋体" w:hAnsi="宋体" w:eastAsia="宋体" w:cs="宋体"/>
          <w:sz w:val="24"/>
          <w:highlight w:val="none"/>
          <w:lang w:bidi="ar"/>
        </w:rPr>
        <w:t>该气体灭火控制器是集火灾报警、联动控制、气体灭火于一体的控制器，壁挂式结构，安装于机房门口位置。</w:t>
      </w:r>
    </w:p>
    <w:p>
      <w:pPr>
        <w:spacing w:before="163" w:after="163" w:line="360" w:lineRule="auto"/>
        <w:ind w:firstLine="480" w:firstLineChars="200"/>
        <w:rPr>
          <w:rFonts w:ascii="宋体" w:hAnsi="宋体" w:eastAsia="宋体" w:cs="宋体"/>
          <w:sz w:val="24"/>
          <w:highlight w:val="none"/>
          <w:lang w:bidi="ar"/>
        </w:rPr>
      </w:pPr>
      <w:r>
        <w:rPr>
          <w:rFonts w:hint="eastAsia" w:ascii="宋体" w:hAnsi="宋体" w:eastAsia="宋体" w:cs="宋体"/>
          <w:sz w:val="24"/>
          <w:highlight w:val="none"/>
          <w:lang w:bidi="ar"/>
        </w:rPr>
        <w:t>其主要特点如下：设有不掉电备份，保证系统调试完成时注册到的设备全部受到监控；控制器开机自检时，不仅自动检测本机设备（指示灯、功能键等），同时还逐条检测外部设备的注册信息及联动公式信息，如信息发生变化系统将显示本信息并做相应的处理；对灭火控制部分具有输出线断路、短路报警功能，这些检测功能可最大限度的保障控制模块本身及其与重要设备之间连接的可靠性；对气体喷洒设备提供了独立的控制密码和联动编程空间，并有相应的声光指示，使气体喷洒设备受到了更严格的监控。</w:t>
      </w:r>
    </w:p>
    <w:p>
      <w:pPr>
        <w:spacing w:line="360" w:lineRule="auto"/>
        <w:ind w:firstLine="442" w:firstLineChars="200"/>
        <w:jc w:val="center"/>
        <w:rPr>
          <w:rFonts w:ascii="宋体" w:hAnsi="宋体" w:eastAsia="宋体" w:cs="Times New Roman"/>
          <w:b/>
          <w:sz w:val="22"/>
          <w:szCs w:val="22"/>
          <w:highlight w:val="none"/>
          <w:lang w:bidi="ar"/>
        </w:rPr>
      </w:pPr>
      <w:r>
        <w:rPr>
          <w:rFonts w:ascii="宋体" w:hAnsi="宋体" w:eastAsia="宋体" w:cs="Times New Roman"/>
          <w:b/>
          <w:sz w:val="22"/>
          <w:szCs w:val="22"/>
          <w:highlight w:val="none"/>
        </w:rPr>
        <w:drawing>
          <wp:inline distT="0" distB="0" distL="114300" distR="114300">
            <wp:extent cx="1630045" cy="2318385"/>
            <wp:effectExtent l="0" t="0" r="8255" b="5715"/>
            <wp:docPr id="1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4"/>
                    <pic:cNvPicPr>
                      <a:picLocks noChangeAspect="1"/>
                    </pic:cNvPicPr>
                  </pic:nvPicPr>
                  <pic:blipFill>
                    <a:blip r:embed="rId39"/>
                    <a:stretch>
                      <a:fillRect/>
                    </a:stretch>
                  </pic:blipFill>
                  <pic:spPr>
                    <a:xfrm>
                      <a:off x="0" y="0"/>
                      <a:ext cx="1630045" cy="2318385"/>
                    </a:xfrm>
                    <a:prstGeom prst="rect">
                      <a:avLst/>
                    </a:prstGeom>
                    <a:noFill/>
                    <a:ln>
                      <a:noFill/>
                    </a:ln>
                  </pic:spPr>
                </pic:pic>
              </a:graphicData>
            </a:graphic>
          </wp:inline>
        </w:drawing>
      </w:r>
    </w:p>
    <w:p>
      <w:pPr>
        <w:keepNext w:val="0"/>
        <w:keepLines w:val="0"/>
        <w:pageBreakBefore w:val="0"/>
        <w:widowControl w:val="0"/>
        <w:numPr>
          <w:ilvl w:val="0"/>
          <w:numId w:val="13"/>
        </w:numPr>
        <w:kinsoku/>
        <w:wordWrap/>
        <w:overflowPunct/>
        <w:topLinePunct w:val="0"/>
        <w:autoSpaceDE/>
        <w:autoSpaceDN/>
        <w:bidi w:val="0"/>
        <w:adjustRightInd/>
        <w:snapToGrid/>
        <w:spacing w:before="157" w:beforeLines="50" w:after="157" w:afterLines="50" w:line="360" w:lineRule="auto"/>
        <w:ind w:left="482" w:leftChars="0" w:firstLine="0" w:firstLineChars="0"/>
        <w:textAlignment w:val="auto"/>
        <w:rPr>
          <w:rFonts w:hint="eastAsia" w:ascii="宋体" w:hAnsi="宋体" w:eastAsia="宋体" w:cs="Times New Roman"/>
          <w:b/>
          <w:sz w:val="24"/>
          <w:szCs w:val="24"/>
          <w:highlight w:val="none"/>
          <w:lang w:bidi="ar"/>
        </w:rPr>
      </w:pPr>
      <w:r>
        <w:rPr>
          <w:rFonts w:hint="eastAsia" w:ascii="宋体" w:hAnsi="宋体" w:eastAsia="宋体" w:cs="Times New Roman"/>
          <w:b/>
          <w:sz w:val="24"/>
          <w:szCs w:val="24"/>
          <w:highlight w:val="none"/>
          <w:lang w:bidi="ar"/>
        </w:rPr>
        <w:t>点型光电感烟火灾探测器</w:t>
      </w:r>
    </w:p>
    <w:p>
      <w:pPr>
        <w:spacing w:before="163" w:after="163" w:line="360" w:lineRule="auto"/>
        <w:ind w:firstLine="480" w:firstLineChars="200"/>
        <w:rPr>
          <w:rFonts w:ascii="宋体" w:hAnsi="宋体" w:eastAsia="宋体" w:cs="宋体"/>
          <w:sz w:val="24"/>
          <w:highlight w:val="none"/>
          <w:lang w:bidi="ar"/>
        </w:rPr>
      </w:pPr>
      <w:r>
        <w:rPr>
          <w:rFonts w:hint="eastAsia" w:ascii="宋体" w:hAnsi="宋体" w:eastAsia="宋体" w:cs="宋体"/>
          <w:sz w:val="24"/>
          <w:highlight w:val="none"/>
          <w:lang w:bidi="ar"/>
        </w:rPr>
        <w:t>光电感烟火灾探测器采用无极性信号二总线技术，采用电子编码方式，现场编码；采用指示灯闪烁的方式提示其正常工作状态，可在现场观察其运行状况。</w:t>
      </w:r>
    </w:p>
    <w:p>
      <w:pPr>
        <w:keepNext w:val="0"/>
        <w:keepLines w:val="0"/>
        <w:pageBreakBefore w:val="0"/>
        <w:widowControl w:val="0"/>
        <w:numPr>
          <w:ilvl w:val="0"/>
          <w:numId w:val="13"/>
        </w:numPr>
        <w:kinsoku/>
        <w:wordWrap/>
        <w:overflowPunct/>
        <w:topLinePunct w:val="0"/>
        <w:autoSpaceDE/>
        <w:autoSpaceDN/>
        <w:bidi w:val="0"/>
        <w:adjustRightInd/>
        <w:snapToGrid/>
        <w:spacing w:before="157" w:beforeLines="50" w:after="157" w:afterLines="50" w:line="360" w:lineRule="auto"/>
        <w:ind w:left="482" w:leftChars="0" w:firstLine="0" w:firstLineChars="0"/>
        <w:textAlignment w:val="auto"/>
        <w:rPr>
          <w:rFonts w:hint="eastAsia" w:ascii="宋体" w:hAnsi="宋体" w:eastAsia="宋体" w:cs="Times New Roman"/>
          <w:b/>
          <w:sz w:val="24"/>
          <w:szCs w:val="24"/>
          <w:highlight w:val="none"/>
          <w:lang w:bidi="ar"/>
        </w:rPr>
      </w:pPr>
      <w:r>
        <w:rPr>
          <w:rFonts w:hint="eastAsia" w:ascii="宋体" w:hAnsi="宋体" w:cs="Times New Roman"/>
          <w:b/>
          <w:sz w:val="24"/>
          <w:szCs w:val="24"/>
          <w:highlight w:val="none"/>
          <w:lang w:val="en-US" w:eastAsia="zh-CN" w:bidi="ar"/>
        </w:rPr>
        <w:t>感温/感烟</w:t>
      </w:r>
      <w:r>
        <w:rPr>
          <w:rFonts w:hint="eastAsia" w:ascii="宋体" w:hAnsi="宋体" w:eastAsia="宋体" w:cs="Times New Roman"/>
          <w:b/>
          <w:sz w:val="24"/>
          <w:szCs w:val="24"/>
          <w:highlight w:val="none"/>
          <w:lang w:bidi="ar"/>
        </w:rPr>
        <w:t>火灾探测器</w:t>
      </w:r>
    </w:p>
    <w:p>
      <w:pPr>
        <w:spacing w:before="163" w:after="163" w:line="360" w:lineRule="auto"/>
        <w:ind w:firstLine="480" w:firstLineChars="200"/>
        <w:rPr>
          <w:rFonts w:ascii="宋体" w:hAnsi="宋体" w:eastAsia="宋体" w:cs="宋体"/>
          <w:sz w:val="24"/>
          <w:highlight w:val="none"/>
          <w:lang w:bidi="ar"/>
        </w:rPr>
      </w:pPr>
      <w:r>
        <w:rPr>
          <w:rFonts w:hint="eastAsia" w:ascii="宋体" w:hAnsi="宋体" w:eastAsia="宋体" w:cs="宋体"/>
          <w:sz w:val="24"/>
          <w:highlight w:val="none"/>
          <w:lang w:bidi="ar"/>
        </w:rPr>
        <w:t>火灾探测器采用无极性信号二总线技术，采用电子编码；适用于发生火灾时有剧烈温升的场所，与感烟探测器配合使用更能可靠探测火灾，减少损失。</w:t>
      </w:r>
      <w:r>
        <w:rPr>
          <w:rFonts w:ascii="宋体" w:hAnsi="宋体" w:eastAsia="宋体" w:cs="宋体"/>
          <w:sz w:val="24"/>
          <w:highlight w:val="none"/>
          <w:lang w:bidi="ar"/>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eastAsia="宋体" w:cs="Times New Roman"/>
          <w:kern w:val="0"/>
          <w:sz w:val="26"/>
          <w:szCs w:val="26"/>
          <w:highlight w:val="none"/>
        </w:rPr>
      </w:pPr>
      <w:r>
        <w:rPr>
          <w:rFonts w:ascii="宋体" w:hAnsi="宋体" w:eastAsia="宋体" w:cs="Times New Roman"/>
          <w:kern w:val="0"/>
          <w:sz w:val="26"/>
          <w:szCs w:val="26"/>
          <w:highlight w:val="none"/>
        </w:rPr>
        <w:t xml:space="preserve">         </w:t>
      </w:r>
      <w:r>
        <w:rPr>
          <w:rFonts w:ascii="宋体" w:hAnsi="宋体" w:eastAsia="宋体" w:cs="Times New Roman"/>
          <w:kern w:val="0"/>
          <w:sz w:val="26"/>
          <w:szCs w:val="26"/>
          <w:highlight w:val="none"/>
        </w:rPr>
        <w:drawing>
          <wp:inline distT="0" distB="0" distL="114300" distR="114300">
            <wp:extent cx="1183005" cy="991235"/>
            <wp:effectExtent l="0" t="0" r="17145" b="18415"/>
            <wp:docPr id="2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pic:cNvPicPr>
                      <a:picLocks noChangeAspect="1"/>
                    </pic:cNvPicPr>
                  </pic:nvPicPr>
                  <pic:blipFill>
                    <a:blip r:embed="rId40"/>
                    <a:stretch>
                      <a:fillRect/>
                    </a:stretch>
                  </pic:blipFill>
                  <pic:spPr>
                    <a:xfrm>
                      <a:off x="0" y="0"/>
                      <a:ext cx="1183005" cy="991235"/>
                    </a:xfrm>
                    <a:prstGeom prst="rect">
                      <a:avLst/>
                    </a:prstGeom>
                    <a:noFill/>
                    <a:ln>
                      <a:noFill/>
                    </a:ln>
                  </pic:spPr>
                </pic:pic>
              </a:graphicData>
            </a:graphic>
          </wp:inline>
        </w:drawing>
      </w:r>
      <w:r>
        <w:rPr>
          <w:rFonts w:hint="eastAsia" w:ascii="宋体" w:hAnsi="宋体" w:eastAsia="宋体" w:cs="Times New Roman"/>
          <w:sz w:val="26"/>
          <w:szCs w:val="26"/>
          <w:highlight w:val="none"/>
          <w:lang w:bidi="ar"/>
        </w:rPr>
        <w:t xml:space="preserve">       </w:t>
      </w:r>
      <w:r>
        <w:rPr>
          <w:rFonts w:ascii="宋体" w:hAnsi="宋体" w:eastAsia="宋体" w:cs="Times New Roman"/>
          <w:sz w:val="26"/>
          <w:szCs w:val="26"/>
          <w:highlight w:val="none"/>
          <w:lang w:bidi="ar"/>
        </w:rPr>
        <w:t xml:space="preserve">   </w:t>
      </w:r>
      <w:r>
        <w:rPr>
          <w:rFonts w:hint="eastAsia" w:ascii="宋体" w:hAnsi="宋体" w:eastAsia="宋体" w:cs="Times New Roman"/>
          <w:sz w:val="26"/>
          <w:szCs w:val="26"/>
          <w:highlight w:val="none"/>
          <w:lang w:bidi="ar"/>
        </w:rPr>
        <w:t xml:space="preserve"> </w:t>
      </w:r>
      <w:r>
        <w:rPr>
          <w:rFonts w:ascii="宋体" w:hAnsi="宋体" w:eastAsia="宋体" w:cs="Times New Roman"/>
          <w:kern w:val="0"/>
          <w:sz w:val="26"/>
          <w:szCs w:val="26"/>
          <w:highlight w:val="none"/>
        </w:rPr>
        <w:drawing>
          <wp:inline distT="0" distB="0" distL="114300" distR="114300">
            <wp:extent cx="1314450" cy="1057275"/>
            <wp:effectExtent l="0" t="0" r="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41"/>
                    <a:stretch>
                      <a:fillRect/>
                    </a:stretch>
                  </pic:blipFill>
                  <pic:spPr>
                    <a:xfrm>
                      <a:off x="0" y="0"/>
                      <a:ext cx="1314450" cy="1057275"/>
                    </a:xfrm>
                    <a:prstGeom prst="rect">
                      <a:avLst/>
                    </a:prstGeom>
                    <a:noFill/>
                    <a:ln>
                      <a:noFill/>
                    </a:ln>
                  </pic:spPr>
                </pic:pic>
              </a:graphicData>
            </a:graphic>
          </wp:inline>
        </w:drawing>
      </w:r>
    </w:p>
    <w:p>
      <w:pPr>
        <w:spacing w:line="360" w:lineRule="auto"/>
        <w:ind w:firstLine="480" w:firstLineChars="200"/>
        <w:rPr>
          <w:rFonts w:ascii="宋体" w:hAnsi="宋体" w:eastAsia="宋体" w:cs="Times New Roman"/>
          <w:sz w:val="24"/>
          <w:szCs w:val="26"/>
          <w:highlight w:val="none"/>
          <w:lang w:bidi="ar"/>
        </w:rPr>
      </w:pPr>
      <w:r>
        <w:rPr>
          <w:rFonts w:hint="eastAsia" w:ascii="宋体" w:hAnsi="宋体" w:eastAsia="宋体" w:cs="Times New Roman"/>
          <w:sz w:val="24"/>
          <w:szCs w:val="26"/>
          <w:highlight w:val="none"/>
          <w:lang w:bidi="ar"/>
        </w:rPr>
        <w:t xml:space="preserve">    </w:t>
      </w:r>
      <w:r>
        <w:rPr>
          <w:rFonts w:ascii="宋体" w:hAnsi="宋体" w:eastAsia="宋体" w:cs="Times New Roman"/>
          <w:sz w:val="24"/>
          <w:szCs w:val="26"/>
          <w:highlight w:val="none"/>
          <w:lang w:bidi="ar"/>
        </w:rPr>
        <w:t xml:space="preserve"> </w:t>
      </w:r>
      <w:r>
        <w:rPr>
          <w:rFonts w:hint="eastAsia" w:ascii="宋体" w:hAnsi="宋体" w:eastAsia="宋体" w:cs="Times New Roman"/>
          <w:sz w:val="24"/>
          <w:szCs w:val="26"/>
          <w:highlight w:val="none"/>
          <w:lang w:bidi="ar"/>
        </w:rPr>
        <w:t xml:space="preserve">  </w:t>
      </w:r>
      <w:r>
        <w:rPr>
          <w:rFonts w:hint="eastAsia" w:ascii="宋体" w:hAnsi="宋体" w:cs="Times New Roman"/>
          <w:sz w:val="24"/>
          <w:szCs w:val="26"/>
          <w:highlight w:val="none"/>
          <w:lang w:val="en-US" w:eastAsia="zh-CN" w:bidi="ar"/>
        </w:rPr>
        <w:t xml:space="preserve"> </w:t>
      </w:r>
      <w:r>
        <w:rPr>
          <w:rFonts w:hint="eastAsia" w:ascii="Times New Roman" w:hAnsi="Times New Roman" w:eastAsia="黑体" w:cs="Times New Roman"/>
          <w:b w:val="0"/>
          <w:bCs w:val="0"/>
          <w:kern w:val="0"/>
          <w:sz w:val="24"/>
          <w:szCs w:val="22"/>
          <w:highlight w:val="none"/>
        </w:rPr>
        <w:t>感烟探测器图片</w:t>
      </w:r>
      <w:r>
        <w:rPr>
          <w:rFonts w:hint="eastAsia" w:ascii="宋体" w:hAnsi="宋体" w:eastAsia="宋体" w:cs="Times New Roman"/>
          <w:sz w:val="24"/>
          <w:szCs w:val="26"/>
          <w:highlight w:val="none"/>
          <w:lang w:bidi="ar"/>
        </w:rPr>
        <w:t xml:space="preserve">            </w:t>
      </w:r>
      <w:r>
        <w:rPr>
          <w:rFonts w:hint="eastAsia" w:ascii="宋体" w:hAnsi="宋体" w:cs="Times New Roman"/>
          <w:sz w:val="24"/>
          <w:szCs w:val="26"/>
          <w:highlight w:val="none"/>
          <w:lang w:val="en-US" w:eastAsia="zh-CN" w:bidi="ar"/>
        </w:rPr>
        <w:t xml:space="preserve">  </w:t>
      </w:r>
      <w:r>
        <w:rPr>
          <w:rFonts w:hint="eastAsia" w:ascii="宋体" w:hAnsi="宋体" w:eastAsia="宋体" w:cs="Times New Roman"/>
          <w:sz w:val="24"/>
          <w:szCs w:val="26"/>
          <w:highlight w:val="none"/>
          <w:lang w:bidi="ar"/>
        </w:rPr>
        <w:t xml:space="preserve">   </w:t>
      </w:r>
      <w:r>
        <w:rPr>
          <w:rFonts w:hint="eastAsia" w:ascii="Times New Roman" w:hAnsi="Times New Roman" w:eastAsia="黑体" w:cs="Times New Roman"/>
          <w:b w:val="0"/>
          <w:bCs w:val="0"/>
          <w:kern w:val="0"/>
          <w:sz w:val="24"/>
          <w:szCs w:val="22"/>
          <w:highlight w:val="none"/>
        </w:rPr>
        <w:t>感温探测器图片</w:t>
      </w:r>
    </w:p>
    <w:p>
      <w:pPr>
        <w:keepNext w:val="0"/>
        <w:keepLines w:val="0"/>
        <w:pageBreakBefore w:val="0"/>
        <w:widowControl w:val="0"/>
        <w:numPr>
          <w:ilvl w:val="0"/>
          <w:numId w:val="13"/>
        </w:numPr>
        <w:kinsoku/>
        <w:wordWrap/>
        <w:overflowPunct/>
        <w:topLinePunct w:val="0"/>
        <w:autoSpaceDE/>
        <w:autoSpaceDN/>
        <w:bidi w:val="0"/>
        <w:adjustRightInd/>
        <w:snapToGrid/>
        <w:spacing w:before="157" w:beforeLines="50" w:after="157" w:afterLines="50" w:line="360" w:lineRule="auto"/>
        <w:ind w:left="482" w:leftChars="0" w:firstLine="0" w:firstLineChars="0"/>
        <w:textAlignment w:val="auto"/>
        <w:rPr>
          <w:rFonts w:hint="eastAsia" w:ascii="宋体" w:hAnsi="宋体" w:eastAsia="宋体" w:cs="Times New Roman"/>
          <w:b/>
          <w:sz w:val="24"/>
          <w:szCs w:val="24"/>
          <w:highlight w:val="none"/>
          <w:lang w:bidi="ar"/>
        </w:rPr>
      </w:pPr>
      <w:r>
        <w:rPr>
          <w:rFonts w:hint="eastAsia" w:ascii="宋体" w:hAnsi="宋体" w:eastAsia="宋体" w:cs="Times New Roman"/>
          <w:b/>
          <w:sz w:val="24"/>
          <w:szCs w:val="24"/>
          <w:highlight w:val="none"/>
          <w:lang w:bidi="ar"/>
        </w:rPr>
        <w:t>手动火灾报警按钮</w:t>
      </w:r>
    </w:p>
    <w:p>
      <w:pPr>
        <w:spacing w:before="163" w:after="163" w:line="360" w:lineRule="auto"/>
        <w:ind w:firstLine="480" w:firstLineChars="200"/>
        <w:rPr>
          <w:rFonts w:ascii="宋体" w:hAnsi="宋体" w:eastAsia="宋体" w:cs="宋体"/>
          <w:sz w:val="24"/>
          <w:highlight w:val="none"/>
          <w:lang w:bidi="ar"/>
        </w:rPr>
      </w:pPr>
      <w:r>
        <w:rPr>
          <w:rFonts w:hint="eastAsia" w:ascii="宋体" w:hAnsi="宋体" w:eastAsia="宋体" w:cs="宋体"/>
          <w:sz w:val="24"/>
          <w:highlight w:val="none"/>
          <w:lang w:bidi="ar"/>
        </w:rPr>
        <w:t>当人工确认火灾发生后按下按钮上的有机玻璃片，可向控制器发出火灾报警信号，有机玻璃片按下后可用专用工具复位。</w:t>
      </w:r>
    </w:p>
    <w:p>
      <w:pPr>
        <w:keepNext w:val="0"/>
        <w:keepLines w:val="0"/>
        <w:pageBreakBefore w:val="0"/>
        <w:widowControl w:val="0"/>
        <w:kinsoku/>
        <w:wordWrap/>
        <w:overflowPunct/>
        <w:topLinePunct w:val="0"/>
        <w:autoSpaceDE/>
        <w:autoSpaceDN/>
        <w:bidi w:val="0"/>
        <w:adjustRightInd/>
        <w:snapToGrid/>
        <w:spacing w:before="163" w:after="163" w:line="360" w:lineRule="auto"/>
        <w:ind w:firstLine="0" w:firstLineChars="0"/>
        <w:jc w:val="center"/>
        <w:textAlignment w:val="auto"/>
        <w:rPr>
          <w:rFonts w:ascii="宋体" w:hAnsi="宋体" w:eastAsia="宋体" w:cs="Times New Roman"/>
          <w:kern w:val="0"/>
          <w:sz w:val="26"/>
          <w:szCs w:val="26"/>
          <w:highlight w:val="none"/>
        </w:rPr>
      </w:pPr>
      <w:r>
        <w:rPr>
          <w:rFonts w:hint="eastAsia" w:ascii="宋体" w:hAnsi="宋体" w:eastAsia="宋体" w:cs="Times New Roman"/>
          <w:sz w:val="26"/>
          <w:szCs w:val="26"/>
          <w:highlight w:val="none"/>
        </w:rPr>
        <w:drawing>
          <wp:inline distT="0" distB="0" distL="114300" distR="114300">
            <wp:extent cx="753745" cy="989965"/>
            <wp:effectExtent l="0" t="0" r="8255"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42"/>
                    <a:stretch>
                      <a:fillRect/>
                    </a:stretch>
                  </pic:blipFill>
                  <pic:spPr>
                    <a:xfrm>
                      <a:off x="0" y="0"/>
                      <a:ext cx="753745" cy="989965"/>
                    </a:xfrm>
                    <a:prstGeom prst="rect">
                      <a:avLst/>
                    </a:prstGeom>
                    <a:noFill/>
                    <a:ln>
                      <a:noFill/>
                    </a:ln>
                  </pic:spPr>
                </pic:pic>
              </a:graphicData>
            </a:graphic>
          </wp:inline>
        </w:drawing>
      </w:r>
    </w:p>
    <w:p>
      <w:pPr>
        <w:spacing w:line="360" w:lineRule="auto"/>
        <w:ind w:firstLine="2880" w:firstLineChars="1200"/>
        <w:jc w:val="both"/>
        <w:rPr>
          <w:rFonts w:ascii="宋体" w:hAnsi="宋体" w:eastAsia="宋体" w:cs="Times New Roman"/>
          <w:kern w:val="0"/>
          <w:sz w:val="24"/>
          <w:szCs w:val="26"/>
          <w:highlight w:val="none"/>
        </w:rPr>
      </w:pPr>
      <w:r>
        <w:rPr>
          <w:rFonts w:hint="eastAsia" w:ascii="Times New Roman" w:hAnsi="Times New Roman" w:eastAsia="黑体" w:cs="Times New Roman"/>
          <w:b w:val="0"/>
          <w:bCs w:val="0"/>
          <w:kern w:val="0"/>
          <w:sz w:val="24"/>
          <w:szCs w:val="22"/>
          <w:highlight w:val="none"/>
        </w:rPr>
        <w:t>手动</w:t>
      </w:r>
      <w:r>
        <w:rPr>
          <w:rFonts w:hint="eastAsia" w:eastAsia="黑体" w:cs="Times New Roman"/>
          <w:b w:val="0"/>
          <w:bCs w:val="0"/>
          <w:kern w:val="0"/>
          <w:sz w:val="24"/>
          <w:szCs w:val="22"/>
          <w:highlight w:val="none"/>
          <w:lang w:val="en-US" w:eastAsia="zh-CN"/>
        </w:rPr>
        <w:t>火灾</w:t>
      </w:r>
      <w:r>
        <w:rPr>
          <w:rFonts w:hint="eastAsia" w:ascii="Times New Roman" w:hAnsi="Times New Roman" w:eastAsia="黑体" w:cs="Times New Roman"/>
          <w:b w:val="0"/>
          <w:bCs w:val="0"/>
          <w:kern w:val="0"/>
          <w:sz w:val="24"/>
          <w:szCs w:val="22"/>
          <w:highlight w:val="none"/>
        </w:rPr>
        <w:t>报警按钮图片</w:t>
      </w:r>
    </w:p>
    <w:p>
      <w:pPr>
        <w:keepNext w:val="0"/>
        <w:keepLines w:val="0"/>
        <w:pageBreakBefore w:val="0"/>
        <w:widowControl w:val="0"/>
        <w:numPr>
          <w:ilvl w:val="0"/>
          <w:numId w:val="13"/>
        </w:numPr>
        <w:kinsoku/>
        <w:wordWrap/>
        <w:overflowPunct/>
        <w:topLinePunct w:val="0"/>
        <w:autoSpaceDE/>
        <w:autoSpaceDN/>
        <w:bidi w:val="0"/>
        <w:adjustRightInd/>
        <w:snapToGrid/>
        <w:spacing w:before="157" w:beforeLines="50" w:after="157" w:afterLines="50" w:line="360" w:lineRule="auto"/>
        <w:ind w:left="482" w:leftChars="0" w:firstLine="0" w:firstLineChars="0"/>
        <w:textAlignment w:val="auto"/>
        <w:rPr>
          <w:rFonts w:hint="eastAsia" w:ascii="宋体" w:hAnsi="宋体" w:eastAsia="宋体" w:cs="Times New Roman"/>
          <w:b/>
          <w:sz w:val="24"/>
          <w:szCs w:val="24"/>
          <w:highlight w:val="none"/>
          <w:lang w:bidi="ar"/>
        </w:rPr>
      </w:pPr>
      <w:r>
        <w:rPr>
          <w:rFonts w:hint="eastAsia" w:ascii="宋体" w:hAnsi="宋体" w:eastAsia="宋体" w:cs="Times New Roman"/>
          <w:b/>
          <w:sz w:val="24"/>
          <w:szCs w:val="24"/>
          <w:highlight w:val="none"/>
          <w:lang w:bidi="ar"/>
        </w:rPr>
        <w:t>紧急启动/停动按钮</w:t>
      </w:r>
    </w:p>
    <w:p>
      <w:pPr>
        <w:spacing w:before="163" w:after="163" w:line="360" w:lineRule="auto"/>
        <w:ind w:firstLine="480" w:firstLineChars="200"/>
        <w:rPr>
          <w:rFonts w:hint="eastAsia" w:ascii="宋体" w:hAnsi="宋体" w:eastAsia="宋体" w:cs="宋体"/>
          <w:sz w:val="24"/>
          <w:highlight w:val="none"/>
          <w:lang w:bidi="ar"/>
        </w:rPr>
      </w:pPr>
      <w:r>
        <w:rPr>
          <w:rFonts w:hint="eastAsia" w:ascii="宋体" w:hAnsi="宋体" w:eastAsia="宋体" w:cs="宋体"/>
          <w:sz w:val="24"/>
          <w:highlight w:val="none"/>
          <w:lang w:bidi="ar"/>
        </w:rPr>
        <w:t>紧急启动/停动按钮用于控制气体灭火系统的启动及停动。安装在保护区入口处，当被保护的区域内发生火灾时，按下紧急启动按钮，即可向气体灭火控制器发出信号。气体灭火控制器发出气体喷洒命令，经延时30S，启动气体喷洒电磁阀。在延时期间，若现场人员确认无需自动灭火，可立即按下紧急停动按钮，终止启动。按钮用玻璃罩进行保护，当发生火警时，击碎玻璃罩后再按下相应的按钮，使用后应及时更换玻璃片。</w:t>
      </w:r>
    </w:p>
    <w:p>
      <w:pPr>
        <w:keepNext w:val="0"/>
        <w:keepLines w:val="0"/>
        <w:pageBreakBefore w:val="0"/>
        <w:widowControl w:val="0"/>
        <w:kinsoku/>
        <w:wordWrap/>
        <w:overflowPunct/>
        <w:topLinePunct w:val="0"/>
        <w:autoSpaceDE/>
        <w:autoSpaceDN/>
        <w:bidi w:val="0"/>
        <w:adjustRightInd/>
        <w:snapToGrid/>
        <w:spacing w:before="163" w:after="163" w:line="360" w:lineRule="auto"/>
        <w:ind w:firstLine="0" w:firstLineChars="0"/>
        <w:jc w:val="center"/>
        <w:textAlignment w:val="auto"/>
        <w:rPr>
          <w:rFonts w:ascii="宋体" w:hAnsi="宋体" w:eastAsia="宋体" w:cs="Times New Roman"/>
          <w:kern w:val="0"/>
          <w:sz w:val="26"/>
          <w:szCs w:val="26"/>
          <w:highlight w:val="none"/>
        </w:rPr>
      </w:pPr>
      <w:r>
        <w:rPr>
          <w:rFonts w:ascii="宋体" w:hAnsi="宋体" w:eastAsia="宋体" w:cs="Times New Roman"/>
          <w:kern w:val="0"/>
          <w:sz w:val="26"/>
          <w:szCs w:val="26"/>
          <w:highlight w:val="none"/>
        </w:rPr>
        <w:drawing>
          <wp:inline distT="0" distB="0" distL="114300" distR="114300">
            <wp:extent cx="675640" cy="1041400"/>
            <wp:effectExtent l="0" t="0" r="10160" b="6350"/>
            <wp:docPr id="4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8"/>
                    <pic:cNvPicPr>
                      <a:picLocks noChangeAspect="1"/>
                    </pic:cNvPicPr>
                  </pic:nvPicPr>
                  <pic:blipFill>
                    <a:blip r:embed="rId43"/>
                    <a:stretch>
                      <a:fillRect/>
                    </a:stretch>
                  </pic:blipFill>
                  <pic:spPr>
                    <a:xfrm>
                      <a:off x="0" y="0"/>
                      <a:ext cx="675640" cy="1041400"/>
                    </a:xfrm>
                    <a:prstGeom prst="rect">
                      <a:avLst/>
                    </a:prstGeom>
                    <a:noFill/>
                    <a:ln>
                      <a:noFill/>
                    </a:ln>
                  </pic:spPr>
                </pic:pic>
              </a:graphicData>
            </a:graphic>
          </wp:inline>
        </w:drawing>
      </w:r>
    </w:p>
    <w:p>
      <w:pPr>
        <w:spacing w:line="360" w:lineRule="auto"/>
        <w:ind w:firstLine="1080" w:firstLineChars="450"/>
        <w:rPr>
          <w:rFonts w:ascii="宋体" w:hAnsi="宋体" w:eastAsia="宋体" w:cs="Times New Roman"/>
          <w:kern w:val="0"/>
          <w:sz w:val="24"/>
          <w:szCs w:val="26"/>
          <w:highlight w:val="none"/>
        </w:rPr>
      </w:pPr>
      <w:r>
        <w:rPr>
          <w:rFonts w:hint="eastAsia" w:ascii="宋体" w:hAnsi="宋体" w:eastAsia="宋体" w:cs="Times New Roman"/>
          <w:sz w:val="24"/>
          <w:szCs w:val="26"/>
          <w:highlight w:val="none"/>
          <w:lang w:bidi="ar"/>
        </w:rPr>
        <w:t xml:space="preserve">             </w:t>
      </w:r>
      <w:r>
        <w:rPr>
          <w:rFonts w:hint="eastAsia" w:ascii="宋体" w:hAnsi="宋体" w:cs="Times New Roman"/>
          <w:sz w:val="24"/>
          <w:szCs w:val="26"/>
          <w:highlight w:val="none"/>
          <w:lang w:val="en-US" w:eastAsia="zh-CN" w:bidi="ar"/>
        </w:rPr>
        <w:t xml:space="preserve">  </w:t>
      </w:r>
      <w:r>
        <w:rPr>
          <w:rFonts w:hint="eastAsia" w:ascii="Times New Roman" w:hAnsi="Times New Roman" w:eastAsia="黑体" w:cs="Times New Roman"/>
          <w:b w:val="0"/>
          <w:bCs w:val="0"/>
          <w:kern w:val="0"/>
          <w:sz w:val="24"/>
          <w:szCs w:val="22"/>
          <w:highlight w:val="none"/>
        </w:rPr>
        <w:t>紧急启动/停动按钮图片</w:t>
      </w:r>
    </w:p>
    <w:p>
      <w:pPr>
        <w:keepNext w:val="0"/>
        <w:keepLines w:val="0"/>
        <w:pageBreakBefore w:val="0"/>
        <w:widowControl w:val="0"/>
        <w:numPr>
          <w:ilvl w:val="0"/>
          <w:numId w:val="13"/>
        </w:numPr>
        <w:kinsoku/>
        <w:wordWrap/>
        <w:overflowPunct/>
        <w:topLinePunct w:val="0"/>
        <w:autoSpaceDE/>
        <w:autoSpaceDN/>
        <w:bidi w:val="0"/>
        <w:adjustRightInd/>
        <w:snapToGrid/>
        <w:spacing w:before="157" w:beforeLines="50" w:after="157" w:afterLines="50" w:line="360" w:lineRule="auto"/>
        <w:ind w:left="482" w:leftChars="0" w:firstLine="0" w:firstLineChars="0"/>
        <w:textAlignment w:val="auto"/>
        <w:rPr>
          <w:rFonts w:hint="eastAsia" w:ascii="宋体" w:hAnsi="宋体" w:eastAsia="宋体" w:cs="Times New Roman"/>
          <w:b/>
          <w:sz w:val="24"/>
          <w:szCs w:val="24"/>
          <w:highlight w:val="none"/>
          <w:lang w:bidi="ar"/>
        </w:rPr>
      </w:pPr>
      <w:r>
        <w:rPr>
          <w:rFonts w:hint="eastAsia" w:ascii="宋体" w:hAnsi="宋体" w:eastAsia="宋体" w:cs="Times New Roman"/>
          <w:b/>
          <w:sz w:val="24"/>
          <w:szCs w:val="24"/>
          <w:highlight w:val="none"/>
          <w:lang w:bidi="ar"/>
        </w:rPr>
        <w:t>火灾声光警报器</w:t>
      </w:r>
    </w:p>
    <w:p>
      <w:pPr>
        <w:spacing w:before="163" w:after="163" w:line="360" w:lineRule="auto"/>
        <w:ind w:firstLine="480" w:firstLineChars="200"/>
        <w:rPr>
          <w:rFonts w:hint="eastAsia" w:ascii="宋体" w:hAnsi="宋体" w:eastAsia="宋体" w:cs="宋体"/>
          <w:sz w:val="24"/>
          <w:highlight w:val="none"/>
          <w:lang w:bidi="ar"/>
        </w:rPr>
      </w:pPr>
      <w:r>
        <w:rPr>
          <w:rFonts w:hint="eastAsia" w:ascii="宋体" w:hAnsi="宋体" w:eastAsia="宋体" w:cs="宋体"/>
          <w:sz w:val="24"/>
          <w:highlight w:val="none"/>
          <w:lang w:bidi="ar"/>
        </w:rPr>
        <w:t>火灾声光警报器是一种安装在现场的声光报警设备，当现场发生火灾后，安装在现场的火灾声光警报器可由消防控制中心的火灾报警控制器启动，发出强烈的声光报警信号，以达到提醒现场人员注意并及时疏散的目的。</w:t>
      </w:r>
    </w:p>
    <w:p>
      <w:pPr>
        <w:keepNext w:val="0"/>
        <w:keepLines w:val="0"/>
        <w:pageBreakBefore w:val="0"/>
        <w:widowControl w:val="0"/>
        <w:kinsoku/>
        <w:wordWrap/>
        <w:overflowPunct/>
        <w:topLinePunct w:val="0"/>
        <w:autoSpaceDE/>
        <w:autoSpaceDN/>
        <w:bidi w:val="0"/>
        <w:adjustRightInd/>
        <w:snapToGrid/>
        <w:spacing w:before="163" w:after="163" w:line="360" w:lineRule="auto"/>
        <w:ind w:firstLine="0" w:firstLineChars="0"/>
        <w:jc w:val="center"/>
        <w:textAlignment w:val="auto"/>
        <w:rPr>
          <w:rFonts w:ascii="宋体" w:hAnsi="宋体" w:eastAsia="宋体" w:cs="Times New Roman"/>
          <w:kern w:val="0"/>
          <w:sz w:val="26"/>
          <w:szCs w:val="26"/>
          <w:highlight w:val="none"/>
        </w:rPr>
      </w:pPr>
      <w:r>
        <w:rPr>
          <w:rFonts w:hint="eastAsia" w:ascii="宋体" w:hAnsi="宋体" w:eastAsia="宋体" w:cs="Times New Roman"/>
          <w:sz w:val="26"/>
          <w:szCs w:val="26"/>
          <w:highlight w:val="none"/>
        </w:rPr>
        <w:drawing>
          <wp:inline distT="0" distB="0" distL="114300" distR="114300">
            <wp:extent cx="932180" cy="1243330"/>
            <wp:effectExtent l="0" t="0" r="1270" b="13970"/>
            <wp:docPr id="1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9"/>
                    <pic:cNvPicPr>
                      <a:picLocks noChangeAspect="1"/>
                    </pic:cNvPicPr>
                  </pic:nvPicPr>
                  <pic:blipFill>
                    <a:blip r:embed="rId44"/>
                    <a:stretch>
                      <a:fillRect/>
                    </a:stretch>
                  </pic:blipFill>
                  <pic:spPr>
                    <a:xfrm>
                      <a:off x="0" y="0"/>
                      <a:ext cx="932180" cy="1243330"/>
                    </a:xfrm>
                    <a:prstGeom prst="rect">
                      <a:avLst/>
                    </a:prstGeom>
                    <a:noFill/>
                    <a:ln>
                      <a:noFill/>
                    </a:ln>
                  </pic:spPr>
                </pic:pic>
              </a:graphicData>
            </a:graphic>
          </wp:inline>
        </w:drawing>
      </w:r>
    </w:p>
    <w:p>
      <w:pPr>
        <w:spacing w:before="163" w:after="163" w:line="360" w:lineRule="auto"/>
        <w:ind w:firstLine="480" w:firstLineChars="200"/>
        <w:rPr>
          <w:rFonts w:hint="eastAsia" w:ascii="宋体" w:hAnsi="宋体" w:eastAsia="宋体" w:cs="宋体"/>
          <w:sz w:val="24"/>
          <w:highlight w:val="none"/>
          <w:lang w:bidi="ar"/>
        </w:rPr>
      </w:pPr>
      <w:r>
        <w:rPr>
          <w:rFonts w:ascii="宋体" w:hAnsi="宋体" w:eastAsia="宋体" w:cs="Times New Roman"/>
          <w:sz w:val="24"/>
          <w:szCs w:val="26"/>
          <w:highlight w:val="none"/>
          <w:lang w:bidi="ar"/>
        </w:rPr>
        <w:t xml:space="preserve">     </w:t>
      </w:r>
      <w:r>
        <w:rPr>
          <w:rFonts w:hint="eastAsia" w:ascii="宋体" w:hAnsi="宋体" w:cs="Times New Roman"/>
          <w:sz w:val="24"/>
          <w:szCs w:val="26"/>
          <w:highlight w:val="none"/>
          <w:lang w:val="en-US" w:eastAsia="zh-CN" w:bidi="ar"/>
        </w:rPr>
        <w:t xml:space="preserve">                 </w:t>
      </w:r>
      <w:r>
        <w:rPr>
          <w:rFonts w:hint="eastAsia" w:ascii="Times New Roman" w:hAnsi="Times New Roman" w:eastAsia="黑体" w:cs="Times New Roman"/>
          <w:b w:val="0"/>
          <w:bCs w:val="0"/>
          <w:kern w:val="0"/>
          <w:sz w:val="24"/>
          <w:szCs w:val="22"/>
          <w:highlight w:val="none"/>
        </w:rPr>
        <w:t>火灾声光警报器图片</w:t>
      </w:r>
      <w:r>
        <w:rPr>
          <w:rFonts w:hint="eastAsia" w:ascii="宋体" w:hAnsi="宋体" w:eastAsia="宋体" w:cs="Times New Roman"/>
          <w:sz w:val="24"/>
          <w:szCs w:val="26"/>
          <w:highlight w:val="none"/>
          <w:lang w:bidi="ar"/>
        </w:rPr>
        <w:t xml:space="preserve"> </w:t>
      </w:r>
    </w:p>
    <w:p>
      <w:pPr>
        <w:keepNext w:val="0"/>
        <w:keepLines w:val="0"/>
        <w:pageBreakBefore w:val="0"/>
        <w:widowControl w:val="0"/>
        <w:numPr>
          <w:ilvl w:val="0"/>
          <w:numId w:val="13"/>
        </w:numPr>
        <w:kinsoku/>
        <w:wordWrap/>
        <w:overflowPunct/>
        <w:topLinePunct w:val="0"/>
        <w:autoSpaceDE/>
        <w:autoSpaceDN/>
        <w:bidi w:val="0"/>
        <w:adjustRightInd/>
        <w:snapToGrid/>
        <w:spacing w:before="157" w:beforeLines="50" w:after="157" w:afterLines="50" w:line="360" w:lineRule="auto"/>
        <w:ind w:left="482" w:leftChars="0" w:firstLine="0" w:firstLineChars="0"/>
        <w:textAlignment w:val="auto"/>
        <w:rPr>
          <w:rFonts w:hint="eastAsia" w:ascii="宋体" w:hAnsi="宋体" w:eastAsia="宋体" w:cs="Times New Roman"/>
          <w:b/>
          <w:sz w:val="24"/>
          <w:szCs w:val="24"/>
          <w:highlight w:val="none"/>
          <w:lang w:bidi="ar"/>
        </w:rPr>
      </w:pPr>
      <w:r>
        <w:rPr>
          <w:rFonts w:hint="eastAsia" w:ascii="宋体" w:hAnsi="宋体" w:eastAsia="宋体" w:cs="Times New Roman"/>
          <w:b/>
          <w:sz w:val="24"/>
          <w:szCs w:val="24"/>
          <w:highlight w:val="none"/>
          <w:lang w:bidi="ar"/>
        </w:rPr>
        <w:t>气体喷洒指示灯</w:t>
      </w:r>
    </w:p>
    <w:p>
      <w:pPr>
        <w:spacing w:before="163" w:after="163" w:line="360" w:lineRule="auto"/>
        <w:ind w:firstLine="480" w:firstLineChars="200"/>
        <w:rPr>
          <w:rFonts w:hint="eastAsia" w:ascii="宋体" w:hAnsi="宋体" w:eastAsia="宋体" w:cs="宋体"/>
          <w:sz w:val="24"/>
          <w:highlight w:val="none"/>
          <w:lang w:bidi="ar"/>
        </w:rPr>
      </w:pPr>
      <w:r>
        <w:rPr>
          <w:rFonts w:hint="eastAsia" w:ascii="宋体" w:hAnsi="宋体" w:eastAsia="宋体" w:cs="宋体"/>
          <w:sz w:val="24"/>
          <w:highlight w:val="none"/>
          <w:lang w:bidi="ar"/>
        </w:rPr>
        <w:t>气体喷洒指示灯是气体灭火系统的配套产品，安装在被保护场所的入口处。当气体喷洒后，控制器将启动气体喷洒指示灯发出灯光指示，提醒人员注意并采取相应的措施。</w:t>
      </w:r>
    </w:p>
    <w:p>
      <w:pPr>
        <w:keepNext w:val="0"/>
        <w:keepLines w:val="0"/>
        <w:pageBreakBefore w:val="0"/>
        <w:widowControl w:val="0"/>
        <w:kinsoku/>
        <w:wordWrap/>
        <w:overflowPunct/>
        <w:topLinePunct w:val="0"/>
        <w:autoSpaceDE/>
        <w:autoSpaceDN/>
        <w:bidi w:val="0"/>
        <w:adjustRightInd/>
        <w:snapToGrid/>
        <w:spacing w:before="163" w:after="163" w:line="360" w:lineRule="auto"/>
        <w:ind w:firstLine="0" w:firstLineChars="0"/>
        <w:jc w:val="center"/>
        <w:textAlignment w:val="auto"/>
        <w:rPr>
          <w:rFonts w:ascii="宋体" w:hAnsi="宋体" w:eastAsia="宋体" w:cs="Times New Roman"/>
          <w:kern w:val="0"/>
          <w:sz w:val="26"/>
          <w:szCs w:val="26"/>
          <w:highlight w:val="none"/>
        </w:rPr>
      </w:pPr>
      <w:r>
        <w:rPr>
          <w:rFonts w:ascii="宋体" w:hAnsi="宋体" w:eastAsia="宋体" w:cs="Times New Roman"/>
          <w:kern w:val="0"/>
          <w:sz w:val="26"/>
          <w:szCs w:val="26"/>
          <w:highlight w:val="none"/>
        </w:rPr>
        <w:drawing>
          <wp:inline distT="0" distB="0" distL="114300" distR="114300">
            <wp:extent cx="1781175" cy="771525"/>
            <wp:effectExtent l="0" t="0" r="9525"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45"/>
                    <a:stretch>
                      <a:fillRect/>
                    </a:stretch>
                  </pic:blipFill>
                  <pic:spPr>
                    <a:xfrm>
                      <a:off x="0" y="0"/>
                      <a:ext cx="1781175" cy="771525"/>
                    </a:xfrm>
                    <a:prstGeom prst="rect">
                      <a:avLst/>
                    </a:prstGeom>
                    <a:noFill/>
                    <a:ln>
                      <a:noFill/>
                    </a:ln>
                  </pic:spPr>
                </pic:pic>
              </a:graphicData>
            </a:graphic>
          </wp:inline>
        </w:drawing>
      </w:r>
    </w:p>
    <w:p>
      <w:pPr>
        <w:spacing w:before="163" w:after="163" w:line="360" w:lineRule="auto"/>
        <w:ind w:firstLine="3120" w:firstLineChars="1300"/>
        <w:jc w:val="both"/>
        <w:rPr>
          <w:rFonts w:hint="eastAsia" w:ascii="宋体" w:hAnsi="宋体" w:eastAsia="宋体" w:cs="Times New Roman"/>
          <w:kern w:val="0"/>
          <w:sz w:val="26"/>
          <w:szCs w:val="26"/>
          <w:highlight w:val="none"/>
        </w:rPr>
      </w:pPr>
      <w:r>
        <w:rPr>
          <w:rFonts w:hint="eastAsia" w:ascii="Times New Roman" w:hAnsi="Times New Roman" w:eastAsia="黑体" w:cs="Times New Roman"/>
          <w:b w:val="0"/>
          <w:bCs w:val="0"/>
          <w:kern w:val="0"/>
          <w:sz w:val="24"/>
          <w:szCs w:val="22"/>
          <w:highlight w:val="none"/>
        </w:rPr>
        <w:t>气体喷洒指示灯图片</w:t>
      </w:r>
    </w:p>
    <w:p>
      <w:pPr>
        <w:pStyle w:val="4"/>
        <w:ind w:left="-400" w:leftChars="0" w:firstLine="640" w:firstLineChars="0"/>
        <w:rPr>
          <w:rFonts w:hint="eastAsia" w:ascii="宋体" w:hAnsi="宋体" w:cs="宋体"/>
          <w:szCs w:val="20"/>
          <w:highlight w:val="none"/>
          <w:lang w:val="en-US" w:eastAsia="zh-CN"/>
        </w:rPr>
      </w:pPr>
      <w:bookmarkStart w:id="62" w:name="_Toc28077"/>
      <w:r>
        <w:rPr>
          <w:rFonts w:hint="eastAsia" w:ascii="宋体" w:hAnsi="宋体" w:cs="宋体"/>
          <w:szCs w:val="20"/>
          <w:highlight w:val="none"/>
          <w:lang w:val="en-US" w:eastAsia="zh-CN"/>
        </w:rPr>
        <w:t>配置方案</w:t>
      </w:r>
      <w:bookmarkEnd w:id="62"/>
    </w:p>
    <w:p>
      <w:pPr>
        <w:spacing w:before="163" w:after="163" w:line="360" w:lineRule="auto"/>
        <w:ind w:firstLine="480" w:firstLineChars="200"/>
        <w:rPr>
          <w:rFonts w:hint="eastAsia" w:eastAsia="宋体"/>
          <w:lang w:eastAsia="zh-CN"/>
        </w:rPr>
      </w:pPr>
      <w:r>
        <w:rPr>
          <w:rFonts w:hint="eastAsia" w:ascii="宋体" w:hAnsi="宋体" w:eastAsia="宋体" w:cs="宋体"/>
          <w:sz w:val="24"/>
          <w:highlight w:val="none"/>
          <w:lang w:eastAsia="zh-CN" w:bidi="ar"/>
        </w:rPr>
        <w:t>机房</w:t>
      </w:r>
      <w:r>
        <w:rPr>
          <w:rFonts w:hint="eastAsia" w:ascii="宋体" w:hAnsi="宋体" w:cs="宋体"/>
          <w:sz w:val="24"/>
          <w:highlight w:val="none"/>
          <w:lang w:val="en-US" w:eastAsia="zh-CN" w:bidi="ar"/>
        </w:rPr>
        <w:t>区</w:t>
      </w:r>
      <w:r>
        <w:rPr>
          <w:rFonts w:hint="eastAsia" w:ascii="宋体" w:hAnsi="宋体" w:eastAsia="宋体" w:cs="宋体"/>
          <w:sz w:val="24"/>
          <w:highlight w:val="none"/>
          <w:lang w:eastAsia="zh-CN" w:bidi="ar"/>
        </w:rPr>
        <w:t>配置1套集中控制器，1套70L柜式灭火装</w:t>
      </w:r>
      <w:r>
        <w:rPr>
          <w:rFonts w:hint="eastAsia" w:ascii="宋体" w:hAnsi="宋体" w:cs="宋体"/>
          <w:sz w:val="24"/>
          <w:highlight w:val="none"/>
          <w:lang w:eastAsia="zh-CN" w:bidi="ar"/>
        </w:rPr>
        <w:t>，</w:t>
      </w:r>
      <w:r>
        <w:rPr>
          <w:rFonts w:hint="eastAsia" w:ascii="宋体" w:hAnsi="宋体" w:eastAsia="宋体" w:cs="宋体"/>
          <w:sz w:val="24"/>
          <w:highlight w:val="none"/>
          <w:lang w:eastAsia="zh-CN" w:bidi="ar"/>
        </w:rPr>
        <w:t>含七氟丙烷药剂</w:t>
      </w:r>
      <w:r>
        <w:rPr>
          <w:rFonts w:hint="eastAsia" w:ascii="宋体" w:hAnsi="宋体" w:cs="宋体"/>
          <w:sz w:val="24"/>
          <w:highlight w:val="none"/>
          <w:lang w:eastAsia="zh-CN" w:bidi="ar"/>
        </w:rPr>
        <w:t>，</w:t>
      </w:r>
      <w:r>
        <w:rPr>
          <w:rFonts w:hint="eastAsia" w:ascii="宋体" w:hAnsi="宋体" w:cs="宋体"/>
          <w:sz w:val="24"/>
          <w:highlight w:val="none"/>
          <w:lang w:val="en-US" w:eastAsia="zh-CN" w:bidi="ar"/>
        </w:rPr>
        <w:t>并相应配套</w:t>
      </w:r>
      <w:r>
        <w:rPr>
          <w:rFonts w:hint="eastAsia" w:ascii="宋体" w:hAnsi="宋体" w:eastAsia="宋体" w:cs="宋体"/>
          <w:sz w:val="24"/>
          <w:highlight w:val="none"/>
          <w:lang w:eastAsia="zh-CN" w:bidi="ar"/>
        </w:rPr>
        <w:t>感烟探测器、感温探测器、自动泄压口、气体释放灯、急启急停按钮</w:t>
      </w:r>
      <w:r>
        <w:rPr>
          <w:rFonts w:hint="eastAsia" w:ascii="宋体" w:hAnsi="宋体" w:cs="宋体"/>
          <w:sz w:val="24"/>
          <w:highlight w:val="none"/>
          <w:lang w:val="en-US" w:eastAsia="zh-CN" w:bidi="ar"/>
        </w:rPr>
        <w:t>和</w:t>
      </w:r>
      <w:r>
        <w:rPr>
          <w:rFonts w:hint="eastAsia" w:ascii="宋体" w:hAnsi="宋体" w:eastAsia="宋体" w:cs="宋体"/>
          <w:sz w:val="24"/>
          <w:highlight w:val="none"/>
          <w:lang w:eastAsia="zh-CN" w:bidi="ar"/>
        </w:rPr>
        <w:t>火灾声光报警器</w:t>
      </w:r>
      <w:r>
        <w:rPr>
          <w:rFonts w:hint="eastAsia" w:ascii="宋体" w:hAnsi="宋体" w:cs="宋体"/>
          <w:sz w:val="24"/>
          <w:highlight w:val="none"/>
          <w:lang w:val="en-US" w:eastAsia="zh-CN" w:bidi="ar"/>
        </w:rPr>
        <w:t>等，具体部署情况如下：</w:t>
      </w:r>
    </w:p>
    <w:p>
      <w:pPr>
        <w:keepNext w:val="0"/>
        <w:keepLines w:val="0"/>
        <w:pageBreakBefore w:val="0"/>
        <w:widowControl w:val="0"/>
        <w:kinsoku/>
        <w:wordWrap/>
        <w:overflowPunct/>
        <w:topLinePunct w:val="0"/>
        <w:autoSpaceDE/>
        <w:autoSpaceDN/>
        <w:bidi w:val="0"/>
        <w:adjustRightInd/>
        <w:snapToGrid/>
        <w:spacing w:before="163" w:after="163" w:line="360" w:lineRule="auto"/>
        <w:ind w:left="-240" w:leftChars="-100" w:firstLine="0" w:firstLineChars="0"/>
        <w:jc w:val="center"/>
        <w:textAlignment w:val="auto"/>
        <w:rPr>
          <w:rFonts w:hint="eastAsia" w:eastAsia="宋体"/>
          <w:lang w:eastAsia="zh-CN"/>
        </w:rPr>
      </w:pPr>
      <w:r>
        <w:rPr>
          <w:rFonts w:hint="eastAsia" w:eastAsia="宋体"/>
          <w:lang w:eastAsia="zh-CN"/>
        </w:rPr>
        <w:drawing>
          <wp:inline distT="0" distB="0" distL="114300" distR="114300">
            <wp:extent cx="4185920" cy="5541645"/>
            <wp:effectExtent l="0" t="0" r="5080" b="1905"/>
            <wp:docPr id="65" name="图片 65" descr="消防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消防_1"/>
                    <pic:cNvPicPr>
                      <a:picLocks noChangeAspect="1"/>
                    </pic:cNvPicPr>
                  </pic:nvPicPr>
                  <pic:blipFill>
                    <a:blip r:embed="rId46"/>
                    <a:srcRect l="8003" t="11172" r="8388" b="10576"/>
                    <a:stretch>
                      <a:fillRect/>
                    </a:stretch>
                  </pic:blipFill>
                  <pic:spPr>
                    <a:xfrm>
                      <a:off x="0" y="0"/>
                      <a:ext cx="4185920" cy="5541645"/>
                    </a:xfrm>
                    <a:prstGeom prst="rect">
                      <a:avLst/>
                    </a:prstGeom>
                  </pic:spPr>
                </pic:pic>
              </a:graphicData>
            </a:graphic>
          </wp:inline>
        </w:drawing>
      </w:r>
    </w:p>
    <w:p>
      <w:pPr>
        <w:ind w:left="0" w:leftChars="0" w:firstLine="0" w:firstLineChars="0"/>
        <w:jc w:val="center"/>
        <w:rPr>
          <w:rFonts w:hint="eastAsia" w:ascii="黑体" w:hAnsi="黑体" w:eastAsia="黑体" w:cs="黑体"/>
          <w:sz w:val="22"/>
          <w:szCs w:val="22"/>
          <w:highlight w:val="none"/>
          <w:u w:val="single"/>
          <w:lang w:val="en-US" w:eastAsia="zh-CN"/>
        </w:rPr>
      </w:pPr>
      <w:r>
        <w:rPr>
          <w:rFonts w:hint="eastAsia" w:ascii="黑体" w:hAnsi="黑体" w:eastAsia="黑体" w:cs="黑体"/>
          <w:sz w:val="22"/>
          <w:szCs w:val="22"/>
          <w:highlight w:val="none"/>
          <w:u w:val="single"/>
          <w:lang w:val="en-US" w:eastAsia="zh-CN"/>
        </w:rPr>
        <w:t>安全管理中心气体灭火系统布置平面图</w:t>
      </w:r>
    </w:p>
    <w:p>
      <w:pPr>
        <w:pStyle w:val="3"/>
        <w:bidi w:val="0"/>
        <w:ind w:left="482" w:leftChars="0" w:hanging="425" w:firstLineChars="0"/>
        <w:rPr>
          <w:rFonts w:hint="eastAsia" w:ascii="宋体" w:hAnsi="宋体" w:eastAsia="宋体" w:cs="宋体"/>
          <w:color w:val="auto"/>
          <w:highlight w:val="none"/>
          <w:lang w:val="en-US" w:eastAsia="zh-CN"/>
        </w:rPr>
      </w:pPr>
      <w:bookmarkStart w:id="63" w:name="_Toc8006"/>
      <w:r>
        <w:rPr>
          <w:rFonts w:hint="eastAsia" w:ascii="宋体" w:hAnsi="宋体" w:eastAsia="宋体" w:cs="宋体"/>
          <w:color w:val="auto"/>
          <w:highlight w:val="none"/>
          <w:lang w:val="en-US" w:eastAsia="zh-CN"/>
        </w:rPr>
        <w:t>入侵报警系统</w:t>
      </w:r>
      <w:bookmarkEnd w:id="63"/>
    </w:p>
    <w:p>
      <w:pPr>
        <w:pStyle w:val="4"/>
        <w:ind w:left="-400" w:leftChars="0" w:firstLine="640" w:firstLineChars="0"/>
        <w:rPr>
          <w:rFonts w:hint="eastAsia" w:ascii="宋体" w:hAnsi="宋体" w:eastAsia="宋体" w:cs="宋体"/>
          <w:color w:val="auto"/>
          <w:lang w:val="en-US" w:eastAsia="zh-CN"/>
        </w:rPr>
      </w:pPr>
      <w:bookmarkStart w:id="64" w:name="_Toc31740"/>
      <w:r>
        <w:rPr>
          <w:rFonts w:hint="eastAsia" w:ascii="宋体" w:hAnsi="宋体" w:eastAsia="宋体" w:cs="宋体"/>
          <w:color w:val="auto"/>
          <w:szCs w:val="20"/>
          <w:highlight w:val="none"/>
          <w:lang w:val="en-US" w:eastAsia="zh-CN"/>
        </w:rPr>
        <w:t>系统概述</w:t>
      </w:r>
      <w:bookmarkEnd w:id="64"/>
    </w:p>
    <w:p>
      <w:pPr>
        <w:spacing w:line="360" w:lineRule="auto"/>
        <w:ind w:firstLine="500" w:firstLineChars="200"/>
        <w:rPr>
          <w:rFonts w:hint="eastAsia" w:ascii="宋体" w:hAnsi="宋体" w:eastAsia="宋体" w:cs="宋体"/>
          <w:color w:val="auto"/>
          <w:szCs w:val="20"/>
          <w:highlight w:val="none"/>
          <w:lang w:val="en-US" w:eastAsia="zh-CN"/>
        </w:rPr>
      </w:pPr>
      <w:r>
        <w:rPr>
          <w:rFonts w:hint="eastAsia" w:ascii="宋体" w:hAnsi="宋体" w:eastAsia="宋体" w:cs="宋体"/>
          <w:color w:val="auto"/>
          <w:spacing w:val="5"/>
          <w:sz w:val="24"/>
          <w:lang w:val="en-US" w:eastAsia="zh-CN"/>
        </w:rPr>
        <w:t>入侵</w:t>
      </w:r>
      <w:r>
        <w:rPr>
          <w:rFonts w:hint="eastAsia" w:ascii="宋体" w:hAnsi="宋体" w:eastAsia="宋体" w:cs="宋体"/>
          <w:color w:val="auto"/>
          <w:spacing w:val="5"/>
          <w:sz w:val="24"/>
        </w:rPr>
        <w:t>报警系统是由探测器、声光报警器、报警主机及</w:t>
      </w:r>
      <w:r>
        <w:rPr>
          <w:rFonts w:hint="eastAsia" w:ascii="宋体" w:hAnsi="宋体" w:eastAsia="宋体" w:cs="宋体"/>
          <w:color w:val="auto"/>
          <w:spacing w:val="5"/>
          <w:sz w:val="24"/>
          <w:lang w:val="en-US" w:eastAsia="zh-CN"/>
        </w:rPr>
        <w:t>报警</w:t>
      </w:r>
      <w:r>
        <w:rPr>
          <w:rFonts w:hint="eastAsia" w:ascii="宋体" w:hAnsi="宋体" w:eastAsia="宋体" w:cs="宋体"/>
          <w:color w:val="auto"/>
          <w:spacing w:val="5"/>
          <w:sz w:val="24"/>
        </w:rPr>
        <w:t>键盘等组成。入侵报警主要是用于需要重点防护的场所，可以提高防护区域的安全性。在</w:t>
      </w:r>
      <w:r>
        <w:rPr>
          <w:rFonts w:hint="eastAsia" w:ascii="宋体" w:hAnsi="宋体" w:eastAsia="宋体" w:cs="宋体"/>
          <w:color w:val="auto"/>
          <w:spacing w:val="5"/>
          <w:sz w:val="24"/>
          <w:lang w:val="en-US" w:eastAsia="zh-CN"/>
        </w:rPr>
        <w:t>违法入侵</w:t>
      </w:r>
      <w:r>
        <w:rPr>
          <w:rFonts w:hint="eastAsia" w:ascii="宋体" w:hAnsi="宋体" w:eastAsia="宋体" w:cs="宋体"/>
          <w:color w:val="auto"/>
          <w:spacing w:val="5"/>
          <w:sz w:val="24"/>
        </w:rPr>
        <w:t>事件发生时通过报警系统第一时间通知保卫部门，迅速进行布置和处理可以有效制止突发事件，使突发事件造成的损失和危害降到最少。</w:t>
      </w:r>
    </w:p>
    <w:p>
      <w:pPr>
        <w:pStyle w:val="4"/>
        <w:ind w:left="-400" w:leftChars="0" w:firstLine="640" w:firstLineChars="0"/>
        <w:rPr>
          <w:rFonts w:hint="eastAsia" w:ascii="宋体" w:hAnsi="宋体" w:eastAsia="宋体" w:cs="宋体"/>
          <w:color w:val="auto"/>
          <w:lang w:val="en-US" w:eastAsia="zh-CN"/>
        </w:rPr>
      </w:pPr>
      <w:bookmarkStart w:id="65" w:name="_Toc27850"/>
      <w:r>
        <w:rPr>
          <w:rFonts w:hint="eastAsia" w:ascii="宋体" w:hAnsi="宋体" w:eastAsia="宋体" w:cs="宋体"/>
          <w:color w:val="auto"/>
          <w:lang w:val="en-US" w:eastAsia="zh-CN"/>
        </w:rPr>
        <w:t>系统组成</w:t>
      </w:r>
      <w:bookmarkEnd w:id="65"/>
    </w:p>
    <w:p>
      <w:pPr>
        <w:pStyle w:val="12"/>
        <w:widowControl/>
        <w:spacing w:line="500" w:lineRule="exact"/>
        <w:rPr>
          <w:rFonts w:hint="eastAsia" w:ascii="宋体" w:hAnsi="宋体" w:eastAsia="宋体" w:cs="宋体"/>
          <w:color w:val="auto"/>
          <w:sz w:val="24"/>
          <w:highlight w:val="none"/>
          <w:lang w:val="en-US" w:eastAsia="zh-CN" w:bidi="ar"/>
        </w:rPr>
      </w:pPr>
      <w:r>
        <w:rPr>
          <w:rFonts w:hint="eastAsia" w:ascii="宋体" w:hAnsi="宋体" w:eastAsia="宋体" w:cs="宋体"/>
          <w:color w:val="auto"/>
          <w:sz w:val="24"/>
          <w:highlight w:val="none"/>
          <w:lang w:bidi="ar"/>
        </w:rPr>
        <w:t>系统描述：由</w:t>
      </w:r>
      <w:r>
        <w:rPr>
          <w:rFonts w:hint="eastAsia" w:ascii="宋体" w:hAnsi="宋体" w:eastAsia="宋体" w:cs="宋体"/>
          <w:color w:val="auto"/>
          <w:sz w:val="24"/>
          <w:highlight w:val="none"/>
          <w:lang w:val="en-US" w:eastAsia="zh-CN" w:bidi="ar"/>
        </w:rPr>
        <w:t>报警主机</w:t>
      </w:r>
      <w:r>
        <w:rPr>
          <w:rFonts w:hint="eastAsia" w:ascii="宋体" w:hAnsi="宋体" w:eastAsia="宋体" w:cs="宋体"/>
          <w:color w:val="auto"/>
          <w:sz w:val="24"/>
          <w:highlight w:val="none"/>
          <w:lang w:bidi="ar"/>
        </w:rPr>
        <w:t>、</w:t>
      </w:r>
      <w:r>
        <w:rPr>
          <w:rFonts w:hint="eastAsia" w:ascii="宋体" w:hAnsi="宋体" w:eastAsia="宋体" w:cs="宋体"/>
          <w:color w:val="auto"/>
          <w:sz w:val="24"/>
          <w:highlight w:val="none"/>
          <w:lang w:val="en-US" w:eastAsia="zh-CN" w:bidi="ar"/>
        </w:rPr>
        <w:t>报警键盘</w:t>
      </w:r>
      <w:r>
        <w:rPr>
          <w:rFonts w:hint="eastAsia" w:ascii="宋体" w:hAnsi="宋体" w:eastAsia="宋体" w:cs="宋体"/>
          <w:color w:val="auto"/>
          <w:sz w:val="24"/>
          <w:highlight w:val="none"/>
          <w:lang w:bidi="ar"/>
        </w:rPr>
        <w:t>、</w:t>
      </w:r>
      <w:r>
        <w:rPr>
          <w:rFonts w:hint="eastAsia" w:ascii="宋体" w:hAnsi="宋体" w:eastAsia="宋体" w:cs="宋体"/>
          <w:color w:val="auto"/>
          <w:sz w:val="24"/>
          <w:highlight w:val="none"/>
          <w:lang w:val="en-US" w:eastAsia="zh-CN" w:bidi="ar"/>
        </w:rPr>
        <w:t>探测器</w:t>
      </w:r>
      <w:r>
        <w:rPr>
          <w:rFonts w:hint="eastAsia" w:ascii="宋体" w:hAnsi="宋体" w:eastAsia="宋体" w:cs="宋体"/>
          <w:color w:val="auto"/>
          <w:sz w:val="24"/>
          <w:highlight w:val="none"/>
          <w:lang w:bidi="ar"/>
        </w:rPr>
        <w:t>、</w:t>
      </w:r>
      <w:r>
        <w:rPr>
          <w:rFonts w:hint="eastAsia" w:ascii="宋体" w:hAnsi="宋体" w:eastAsia="宋体" w:cs="宋体"/>
          <w:color w:val="auto"/>
          <w:spacing w:val="5"/>
          <w:sz w:val="24"/>
        </w:rPr>
        <w:t>声光报警器</w:t>
      </w:r>
      <w:r>
        <w:rPr>
          <w:rFonts w:hint="eastAsia" w:ascii="宋体" w:hAnsi="宋体" w:eastAsia="宋体" w:cs="宋体"/>
          <w:color w:val="auto"/>
          <w:sz w:val="24"/>
          <w:highlight w:val="none"/>
          <w:lang w:bidi="ar"/>
        </w:rPr>
        <w:t>等部件组成，是</w:t>
      </w:r>
      <w:r>
        <w:rPr>
          <w:rFonts w:hint="eastAsia" w:ascii="宋体" w:hAnsi="宋体" w:eastAsia="宋体" w:cs="宋体"/>
          <w:color w:val="auto"/>
          <w:sz w:val="24"/>
          <w:highlight w:val="none"/>
          <w:lang w:val="en-US" w:eastAsia="zh-CN" w:bidi="ar"/>
        </w:rPr>
        <w:t>利用</w:t>
      </w:r>
      <w:r>
        <w:rPr>
          <w:rFonts w:hint="eastAsia" w:ascii="宋体" w:hAnsi="宋体" w:eastAsia="宋体" w:cs="宋体"/>
          <w:color w:val="auto"/>
          <w:sz w:val="24"/>
          <w:highlight w:val="none"/>
          <w:lang w:bidi="ar"/>
        </w:rPr>
        <w:t>传感器技术和电子信息技术探测非法</w:t>
      </w:r>
      <w:r>
        <w:rPr>
          <w:rFonts w:hint="eastAsia" w:ascii="宋体" w:hAnsi="宋体" w:eastAsia="宋体" w:cs="宋体"/>
          <w:color w:val="auto"/>
          <w:sz w:val="24"/>
          <w:highlight w:val="none"/>
          <w:lang w:val="en-US" w:eastAsia="zh-CN" w:bidi="ar"/>
        </w:rPr>
        <w:t>入侵</w:t>
      </w:r>
      <w:r>
        <w:rPr>
          <w:rFonts w:hint="eastAsia" w:ascii="宋体" w:hAnsi="宋体" w:eastAsia="宋体" w:cs="宋体"/>
          <w:color w:val="auto"/>
          <w:sz w:val="24"/>
          <w:highlight w:val="none"/>
          <w:lang w:bidi="ar"/>
        </w:rPr>
        <w:t>行为</w:t>
      </w:r>
      <w:r>
        <w:rPr>
          <w:rFonts w:hint="eastAsia" w:ascii="宋体" w:hAnsi="宋体" w:eastAsia="宋体" w:cs="宋体"/>
          <w:color w:val="auto"/>
          <w:sz w:val="24"/>
          <w:highlight w:val="none"/>
          <w:lang w:eastAsia="zh-CN" w:bidi="ar"/>
        </w:rPr>
        <w:t>，</w:t>
      </w:r>
      <w:r>
        <w:rPr>
          <w:rFonts w:hint="eastAsia" w:ascii="宋体" w:hAnsi="宋体" w:eastAsia="宋体" w:cs="宋体"/>
          <w:color w:val="auto"/>
          <w:sz w:val="24"/>
          <w:highlight w:val="none"/>
          <w:lang w:val="en-US" w:eastAsia="zh-CN" w:bidi="ar"/>
        </w:rPr>
        <w:t>并</w:t>
      </w:r>
      <w:r>
        <w:rPr>
          <w:rFonts w:hint="eastAsia" w:ascii="宋体" w:hAnsi="宋体" w:eastAsia="宋体" w:cs="宋体"/>
          <w:color w:val="auto"/>
          <w:sz w:val="24"/>
          <w:highlight w:val="none"/>
          <w:lang w:bidi="ar"/>
        </w:rPr>
        <w:t>报警的</w:t>
      </w:r>
      <w:r>
        <w:rPr>
          <w:rFonts w:hint="eastAsia" w:ascii="宋体" w:hAnsi="宋体" w:eastAsia="宋体" w:cs="宋体"/>
          <w:color w:val="auto"/>
          <w:sz w:val="24"/>
          <w:highlight w:val="none"/>
          <w:lang w:val="en-US" w:eastAsia="zh-CN" w:bidi="ar"/>
        </w:rPr>
        <w:t>智能化系统。</w:t>
      </w:r>
    </w:p>
    <w:p>
      <w:pPr>
        <w:keepNext w:val="0"/>
        <w:keepLines w:val="0"/>
        <w:pageBreakBefore w:val="0"/>
        <w:widowControl w:val="0"/>
        <w:numPr>
          <w:ilvl w:val="0"/>
          <w:numId w:val="14"/>
        </w:numPr>
        <w:kinsoku/>
        <w:wordWrap/>
        <w:overflowPunct/>
        <w:topLinePunct w:val="0"/>
        <w:autoSpaceDE/>
        <w:autoSpaceDN/>
        <w:bidi w:val="0"/>
        <w:adjustRightInd/>
        <w:snapToGrid/>
        <w:spacing w:before="157" w:beforeLines="50" w:after="157" w:afterLines="50" w:line="360" w:lineRule="auto"/>
        <w:ind w:left="482" w:leftChars="0" w:firstLine="0" w:firstLineChars="0"/>
        <w:textAlignment w:val="auto"/>
        <w:rPr>
          <w:rFonts w:hint="eastAsia" w:ascii="宋体" w:hAnsi="宋体" w:eastAsia="宋体" w:cs="宋体"/>
          <w:b/>
          <w:bCs w:val="0"/>
          <w:color w:val="auto"/>
        </w:rPr>
      </w:pPr>
      <w:r>
        <w:rPr>
          <w:rFonts w:hint="eastAsia" w:ascii="宋体" w:hAnsi="宋体" w:eastAsia="宋体" w:cs="宋体"/>
          <w:b/>
          <w:bCs w:val="0"/>
          <w:color w:val="auto"/>
          <w:sz w:val="24"/>
          <w:szCs w:val="24"/>
          <w:highlight w:val="none"/>
          <w:lang w:val="en-US" w:eastAsia="zh-CN" w:bidi="ar"/>
        </w:rPr>
        <w:t>报警主机</w:t>
      </w:r>
    </w:p>
    <w:p>
      <w:pPr>
        <w:spacing w:before="163" w:after="163" w:line="360" w:lineRule="auto"/>
        <w:ind w:left="240" w:leftChars="100" w:firstLine="480" w:firstLineChars="200"/>
        <w:rPr>
          <w:rFonts w:hint="eastAsia" w:ascii="宋体" w:hAnsi="宋体" w:eastAsia="宋体" w:cs="宋体"/>
          <w:color w:val="auto"/>
          <w:sz w:val="24"/>
          <w:highlight w:val="none"/>
          <w:lang w:val="en-US" w:eastAsia="zh-CN" w:bidi="ar"/>
        </w:rPr>
      </w:pPr>
      <w:r>
        <w:rPr>
          <w:rFonts w:hint="eastAsia" w:ascii="宋体" w:hAnsi="宋体" w:eastAsia="宋体" w:cs="宋体"/>
          <w:color w:val="auto"/>
          <w:sz w:val="24"/>
          <w:highlight w:val="none"/>
          <w:lang w:val="en-US" w:eastAsia="zh-CN" w:bidi="ar"/>
        </w:rPr>
        <w:t>报警主机安装在智能化机柜内。在入侵报警系统中,报警主机是对前端探测器信号接收、分析、处理的主要设备，当有报警信号时，对报警信号进行处理包括(显示、传递响应等)。其中，对报警信号的响应是对报警执行设备发出控制信号，驱动本地声光报警输出装置和利用通讯方式(局域网/4G专网等)向上一级报警中心发送警报信息。</w:t>
      </w:r>
    </w:p>
    <w:p>
      <w:pPr>
        <w:spacing w:before="163" w:after="163" w:line="360" w:lineRule="auto"/>
        <w:ind w:left="240" w:leftChars="100" w:firstLine="480" w:firstLineChars="200"/>
        <w:jc w:val="center"/>
        <w:rPr>
          <w:rFonts w:hint="eastAsia" w:ascii="宋体" w:hAnsi="宋体" w:eastAsia="宋体" w:cs="宋体"/>
          <w:color w:val="auto"/>
        </w:rPr>
      </w:pPr>
      <w:r>
        <w:rPr>
          <w:rFonts w:hint="eastAsia" w:ascii="宋体" w:hAnsi="宋体" w:eastAsia="宋体" w:cs="宋体"/>
          <w:color w:val="auto"/>
        </w:rPr>
        <w:drawing>
          <wp:inline distT="0" distB="0" distL="114300" distR="114300">
            <wp:extent cx="1960245" cy="1806575"/>
            <wp:effectExtent l="0" t="0" r="1905" b="317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47"/>
                    <a:stretch>
                      <a:fillRect/>
                    </a:stretch>
                  </pic:blipFill>
                  <pic:spPr>
                    <a:xfrm>
                      <a:off x="0" y="0"/>
                      <a:ext cx="1960245" cy="1806575"/>
                    </a:xfrm>
                    <a:prstGeom prst="rect">
                      <a:avLst/>
                    </a:prstGeom>
                    <a:noFill/>
                    <a:ln>
                      <a:noFill/>
                    </a:ln>
                  </pic:spPr>
                </pic:pic>
              </a:graphicData>
            </a:graphic>
          </wp:inline>
        </w:drawing>
      </w:r>
    </w:p>
    <w:p>
      <w:pPr>
        <w:spacing w:before="163" w:after="163" w:line="360" w:lineRule="auto"/>
        <w:ind w:left="240" w:leftChars="100" w:firstLine="480" w:firstLineChars="200"/>
        <w:jc w:val="center"/>
        <w:rPr>
          <w:rFonts w:hint="eastAsia" w:ascii="宋体" w:hAnsi="宋体" w:eastAsia="宋体" w:cs="宋体"/>
          <w:b/>
          <w:bCs/>
          <w:color w:val="auto"/>
          <w:sz w:val="24"/>
          <w:highlight w:val="none"/>
          <w:lang w:val="en-US" w:eastAsia="zh-CN" w:bidi="ar"/>
        </w:rPr>
      </w:pPr>
      <w:r>
        <w:rPr>
          <w:rFonts w:hint="eastAsia" w:ascii="宋体" w:hAnsi="宋体" w:eastAsia="宋体" w:cs="宋体"/>
          <w:b w:val="0"/>
          <w:bCs w:val="0"/>
          <w:color w:val="auto"/>
          <w:kern w:val="0"/>
          <w:sz w:val="24"/>
          <w:szCs w:val="22"/>
          <w:highlight w:val="none"/>
          <w:lang w:val="en-US" w:eastAsia="zh-CN"/>
        </w:rPr>
        <w:t>报警主机</w:t>
      </w:r>
    </w:p>
    <w:p>
      <w:pPr>
        <w:keepNext w:val="0"/>
        <w:keepLines w:val="0"/>
        <w:pageBreakBefore w:val="0"/>
        <w:widowControl w:val="0"/>
        <w:numPr>
          <w:ilvl w:val="0"/>
          <w:numId w:val="14"/>
        </w:numPr>
        <w:kinsoku/>
        <w:wordWrap/>
        <w:overflowPunct/>
        <w:topLinePunct w:val="0"/>
        <w:autoSpaceDE/>
        <w:autoSpaceDN/>
        <w:bidi w:val="0"/>
        <w:adjustRightInd/>
        <w:snapToGrid/>
        <w:spacing w:before="157" w:beforeLines="50" w:after="157" w:afterLines="50" w:line="360" w:lineRule="auto"/>
        <w:ind w:left="482" w:leftChars="0" w:firstLine="0" w:firstLineChars="0"/>
        <w:textAlignment w:val="auto"/>
        <w:rPr>
          <w:rFonts w:hint="eastAsia" w:ascii="宋体" w:hAnsi="宋体" w:eastAsia="宋体" w:cs="宋体"/>
          <w:color w:val="auto"/>
        </w:rPr>
      </w:pPr>
      <w:r>
        <w:rPr>
          <w:rFonts w:hint="eastAsia" w:ascii="宋体" w:hAnsi="宋体" w:eastAsia="宋体" w:cs="宋体"/>
          <w:b/>
          <w:color w:val="auto"/>
          <w:sz w:val="24"/>
          <w:szCs w:val="24"/>
          <w:highlight w:val="none"/>
          <w:lang w:val="en-US" w:eastAsia="zh-CN" w:bidi="ar"/>
        </w:rPr>
        <w:t>报警键盘</w:t>
      </w:r>
    </w:p>
    <w:p>
      <w:pPr>
        <w:spacing w:before="163" w:after="163" w:line="360" w:lineRule="auto"/>
        <w:ind w:left="240" w:leftChars="100" w:firstLine="480" w:firstLineChars="200"/>
        <w:jc w:val="left"/>
        <w:rPr>
          <w:rFonts w:hint="eastAsia" w:ascii="宋体" w:hAnsi="宋体" w:eastAsia="宋体" w:cs="宋体"/>
          <w:color w:val="auto"/>
          <w:sz w:val="24"/>
          <w:highlight w:val="none"/>
          <w:lang w:val="en-US" w:eastAsia="zh-CN" w:bidi="ar"/>
        </w:rPr>
      </w:pPr>
      <w:r>
        <w:rPr>
          <w:rFonts w:hint="eastAsia" w:ascii="宋体" w:hAnsi="宋体" w:eastAsia="宋体" w:cs="宋体"/>
          <w:color w:val="auto"/>
          <w:sz w:val="24"/>
          <w:highlight w:val="none"/>
          <w:lang w:val="en-US" w:eastAsia="zh-CN" w:bidi="ar"/>
        </w:rPr>
        <w:t>报警键盘在入侵报警系统中，主要实施设置布防、解除布防、旁路、指示等控制功能的操作。本项目报警键盘布置在指挥区操作台上，方便值班/管理人员迅速对报警系统进行本地布/撤防等相关操作。</w:t>
      </w:r>
    </w:p>
    <w:p>
      <w:pPr>
        <w:spacing w:before="163" w:after="163" w:line="360" w:lineRule="auto"/>
        <w:ind w:left="240" w:leftChars="100" w:firstLine="480" w:firstLineChars="200"/>
        <w:jc w:val="center"/>
        <w:rPr>
          <w:rFonts w:hint="eastAsia" w:ascii="宋体" w:hAnsi="宋体" w:eastAsia="宋体" w:cs="宋体"/>
          <w:color w:val="auto"/>
        </w:rPr>
      </w:pPr>
      <w:r>
        <w:rPr>
          <w:rFonts w:hint="eastAsia" w:ascii="宋体" w:hAnsi="宋体" w:eastAsia="宋体" w:cs="宋体"/>
          <w:color w:val="auto"/>
        </w:rPr>
        <w:drawing>
          <wp:inline distT="0" distB="0" distL="114300" distR="114300">
            <wp:extent cx="1431925" cy="1342390"/>
            <wp:effectExtent l="0" t="0" r="15875" b="10160"/>
            <wp:docPr id="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
                    <pic:cNvPicPr>
                      <a:picLocks noChangeAspect="1"/>
                    </pic:cNvPicPr>
                  </pic:nvPicPr>
                  <pic:blipFill>
                    <a:blip r:embed="rId48"/>
                    <a:stretch>
                      <a:fillRect/>
                    </a:stretch>
                  </pic:blipFill>
                  <pic:spPr>
                    <a:xfrm>
                      <a:off x="0" y="0"/>
                      <a:ext cx="1431925" cy="1342390"/>
                    </a:xfrm>
                    <a:prstGeom prst="rect">
                      <a:avLst/>
                    </a:prstGeom>
                    <a:noFill/>
                    <a:ln>
                      <a:noFill/>
                    </a:ln>
                  </pic:spPr>
                </pic:pic>
              </a:graphicData>
            </a:graphic>
          </wp:inline>
        </w:drawing>
      </w:r>
    </w:p>
    <w:p>
      <w:pPr>
        <w:spacing w:before="163" w:after="163" w:line="360" w:lineRule="auto"/>
        <w:ind w:left="240" w:leftChars="100" w:firstLine="480" w:firstLineChars="200"/>
        <w:jc w:val="center"/>
        <w:rPr>
          <w:rFonts w:hint="eastAsia" w:ascii="宋体" w:hAnsi="宋体" w:eastAsia="宋体" w:cs="宋体"/>
          <w:color w:val="auto"/>
          <w:sz w:val="24"/>
          <w:highlight w:val="none"/>
          <w:lang w:val="en-US" w:eastAsia="zh-CN" w:bidi="ar"/>
        </w:rPr>
      </w:pPr>
      <w:r>
        <w:rPr>
          <w:rFonts w:hint="eastAsia" w:ascii="宋体" w:hAnsi="宋体" w:eastAsia="宋体" w:cs="宋体"/>
          <w:b w:val="0"/>
          <w:bCs w:val="0"/>
          <w:color w:val="auto"/>
          <w:kern w:val="0"/>
          <w:sz w:val="24"/>
          <w:szCs w:val="22"/>
          <w:highlight w:val="none"/>
          <w:lang w:val="en-US" w:eastAsia="zh-CN"/>
        </w:rPr>
        <w:t>报警键盘</w:t>
      </w:r>
    </w:p>
    <w:p>
      <w:pPr>
        <w:keepNext w:val="0"/>
        <w:keepLines w:val="0"/>
        <w:pageBreakBefore w:val="0"/>
        <w:widowControl w:val="0"/>
        <w:numPr>
          <w:ilvl w:val="0"/>
          <w:numId w:val="14"/>
        </w:numPr>
        <w:kinsoku/>
        <w:wordWrap/>
        <w:overflowPunct/>
        <w:topLinePunct w:val="0"/>
        <w:autoSpaceDE/>
        <w:autoSpaceDN/>
        <w:bidi w:val="0"/>
        <w:adjustRightInd/>
        <w:snapToGrid/>
        <w:spacing w:before="157" w:beforeLines="50" w:after="157" w:afterLines="50" w:line="360" w:lineRule="auto"/>
        <w:ind w:left="482" w:leftChars="0" w:firstLine="0" w:firstLineChars="0"/>
        <w:textAlignment w:val="auto"/>
        <w:rPr>
          <w:rFonts w:hint="eastAsia" w:ascii="宋体" w:hAnsi="宋体" w:eastAsia="宋体" w:cs="宋体"/>
          <w:b/>
          <w:bCs/>
          <w:color w:val="auto"/>
          <w:kern w:val="2"/>
          <w:sz w:val="24"/>
          <w:szCs w:val="22"/>
          <w:highlight w:val="none"/>
          <w:lang w:val="en-US" w:eastAsia="zh-CN" w:bidi="ar"/>
        </w:rPr>
      </w:pPr>
      <w:r>
        <w:rPr>
          <w:rFonts w:hint="eastAsia" w:ascii="宋体" w:hAnsi="宋体" w:eastAsia="宋体" w:cs="宋体"/>
          <w:b/>
          <w:bCs/>
          <w:color w:val="auto"/>
          <w:lang w:val="en-US" w:eastAsia="zh-CN"/>
        </w:rPr>
        <w:t>三鉴探测器</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82" w:leftChars="0" w:firstLine="480" w:firstLineChars="200"/>
        <w:textAlignment w:val="auto"/>
        <w:rPr>
          <w:rFonts w:hint="eastAsia" w:ascii="宋体" w:hAnsi="宋体" w:eastAsia="宋体" w:cs="宋体"/>
          <w:b w:val="0"/>
          <w:bCs w:val="0"/>
          <w:color w:val="auto"/>
          <w:kern w:val="2"/>
          <w:sz w:val="24"/>
          <w:szCs w:val="22"/>
          <w:highlight w:val="none"/>
          <w:lang w:val="en-US" w:eastAsia="zh-CN" w:bidi="ar"/>
        </w:rPr>
      </w:pPr>
      <w:r>
        <w:rPr>
          <w:rFonts w:hint="eastAsia" w:ascii="宋体" w:hAnsi="宋体" w:eastAsia="宋体" w:cs="宋体"/>
          <w:b w:val="0"/>
          <w:bCs w:val="0"/>
          <w:color w:val="auto"/>
          <w:kern w:val="2"/>
          <w:sz w:val="24"/>
          <w:szCs w:val="22"/>
          <w:highlight w:val="none"/>
          <w:lang w:val="en-US" w:eastAsia="zh-CN" w:bidi="ar"/>
        </w:rPr>
        <w:t>三鉴探测器是支持红外、微波、人工智能复合报警的探测器，本项目探测器吸顶安装在指挥区和机房区内，实时监测安全管理中心是否存在异常人员闯入等安全事件。</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82" w:leftChars="0" w:firstLine="480" w:firstLineChars="200"/>
        <w:jc w:val="center"/>
        <w:textAlignment w:val="auto"/>
        <w:rPr>
          <w:rFonts w:hint="eastAsia" w:ascii="宋体" w:hAnsi="宋体" w:eastAsia="宋体" w:cs="宋体"/>
          <w:color w:val="auto"/>
        </w:rPr>
      </w:pPr>
      <w:r>
        <w:rPr>
          <w:rFonts w:hint="eastAsia" w:ascii="宋体" w:hAnsi="宋体" w:eastAsia="宋体" w:cs="宋体"/>
          <w:color w:val="auto"/>
        </w:rPr>
        <w:drawing>
          <wp:inline distT="0" distB="0" distL="114300" distR="114300">
            <wp:extent cx="1681480" cy="1398270"/>
            <wp:effectExtent l="0" t="0" r="13970" b="11430"/>
            <wp:docPr id="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r:embed="rId49"/>
                    <a:stretch>
                      <a:fillRect/>
                    </a:stretch>
                  </pic:blipFill>
                  <pic:spPr>
                    <a:xfrm>
                      <a:off x="0" y="0"/>
                      <a:ext cx="1681480" cy="139827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82" w:leftChars="0" w:firstLine="480" w:firstLineChars="200"/>
        <w:jc w:val="center"/>
        <w:textAlignment w:val="auto"/>
        <w:rPr>
          <w:rFonts w:hint="eastAsia" w:ascii="宋体" w:hAnsi="宋体" w:eastAsia="宋体" w:cs="宋体"/>
          <w:color w:val="auto"/>
          <w:lang w:val="en-US" w:eastAsia="zh-CN"/>
        </w:rPr>
      </w:pPr>
      <w:r>
        <w:rPr>
          <w:rFonts w:hint="eastAsia" w:ascii="宋体" w:hAnsi="宋体" w:eastAsia="宋体" w:cs="宋体"/>
          <w:b w:val="0"/>
          <w:bCs w:val="0"/>
          <w:color w:val="auto"/>
          <w:kern w:val="0"/>
          <w:sz w:val="24"/>
          <w:szCs w:val="22"/>
          <w:highlight w:val="none"/>
          <w:lang w:val="en-US" w:eastAsia="zh-CN"/>
        </w:rPr>
        <w:t>三鉴探测器</w:t>
      </w:r>
    </w:p>
    <w:p>
      <w:pPr>
        <w:keepNext w:val="0"/>
        <w:keepLines w:val="0"/>
        <w:pageBreakBefore w:val="0"/>
        <w:widowControl w:val="0"/>
        <w:numPr>
          <w:ilvl w:val="0"/>
          <w:numId w:val="14"/>
        </w:numPr>
        <w:kinsoku/>
        <w:wordWrap/>
        <w:overflowPunct/>
        <w:topLinePunct w:val="0"/>
        <w:autoSpaceDE/>
        <w:autoSpaceDN/>
        <w:bidi w:val="0"/>
        <w:adjustRightInd/>
        <w:snapToGrid/>
        <w:spacing w:before="157" w:beforeLines="50" w:after="157" w:afterLines="50" w:line="360" w:lineRule="auto"/>
        <w:ind w:left="482" w:leftChars="0" w:firstLine="0" w:firstLineChars="0"/>
        <w:textAlignment w:val="auto"/>
        <w:rPr>
          <w:rFonts w:hint="eastAsia" w:ascii="宋体" w:hAnsi="宋体" w:eastAsia="宋体" w:cs="宋体"/>
          <w:b/>
          <w:color w:val="auto"/>
          <w:sz w:val="24"/>
          <w:szCs w:val="24"/>
          <w:highlight w:val="none"/>
          <w:lang w:bidi="ar"/>
        </w:rPr>
      </w:pPr>
      <w:r>
        <w:rPr>
          <w:rFonts w:hint="eastAsia" w:ascii="宋体" w:hAnsi="宋体" w:eastAsia="宋体" w:cs="宋体"/>
          <w:b/>
          <w:color w:val="auto"/>
          <w:sz w:val="24"/>
          <w:szCs w:val="24"/>
          <w:highlight w:val="none"/>
          <w:lang w:val="en-US" w:eastAsia="zh-CN" w:bidi="ar"/>
        </w:rPr>
        <w:t>声光报警器</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82" w:leftChars="0" w:firstLine="480" w:firstLineChars="200"/>
        <w:textAlignment w:val="auto"/>
        <w:rPr>
          <w:rFonts w:hint="eastAsia" w:ascii="宋体" w:hAnsi="宋体" w:eastAsia="宋体" w:cs="宋体"/>
          <w:b w:val="0"/>
          <w:bCs w:val="0"/>
          <w:color w:val="auto"/>
          <w:kern w:val="2"/>
          <w:sz w:val="24"/>
          <w:szCs w:val="22"/>
          <w:highlight w:val="none"/>
          <w:lang w:val="en-US" w:eastAsia="zh-CN" w:bidi="ar"/>
        </w:rPr>
      </w:pPr>
      <w:r>
        <w:rPr>
          <w:rFonts w:hint="eastAsia" w:ascii="宋体" w:hAnsi="宋体" w:eastAsia="宋体" w:cs="宋体"/>
          <w:b w:val="0"/>
          <w:bCs w:val="0"/>
          <w:color w:val="auto"/>
          <w:kern w:val="2"/>
          <w:sz w:val="24"/>
          <w:szCs w:val="22"/>
          <w:highlight w:val="none"/>
          <w:lang w:val="en-US" w:eastAsia="zh-CN" w:bidi="ar"/>
        </w:rPr>
        <w:t>声光报警器是一种通过声音和光闪来向人们发出警示信号的一种报警装置。本项目将声光报警器安装在安全管理中心门口处，当发生异常入侵报警事件时，报警主机会驱动声光报警器发出声音和光闪起一定的警示的震慑效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82" w:leftChars="0" w:firstLine="480" w:firstLineChars="200"/>
        <w:jc w:val="center"/>
        <w:textAlignment w:val="auto"/>
        <w:rPr>
          <w:rFonts w:hint="eastAsia" w:ascii="宋体" w:hAnsi="宋体" w:eastAsia="宋体" w:cs="宋体"/>
          <w:color w:val="auto"/>
        </w:rPr>
      </w:pPr>
      <w:r>
        <w:rPr>
          <w:rFonts w:hint="eastAsia" w:ascii="宋体" w:hAnsi="宋体" w:eastAsia="宋体" w:cs="宋体"/>
          <w:color w:val="auto"/>
        </w:rPr>
        <w:drawing>
          <wp:inline distT="0" distB="0" distL="114300" distR="114300">
            <wp:extent cx="1569085" cy="2018665"/>
            <wp:effectExtent l="0" t="0" r="12065" b="635"/>
            <wp:docPr id="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
                    <pic:cNvPicPr>
                      <a:picLocks noChangeAspect="1"/>
                    </pic:cNvPicPr>
                  </pic:nvPicPr>
                  <pic:blipFill>
                    <a:blip r:embed="rId50"/>
                    <a:stretch>
                      <a:fillRect/>
                    </a:stretch>
                  </pic:blipFill>
                  <pic:spPr>
                    <a:xfrm>
                      <a:off x="0" y="0"/>
                      <a:ext cx="1569085" cy="201866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82" w:leftChars="0" w:firstLine="480" w:firstLineChars="200"/>
        <w:jc w:val="center"/>
        <w:textAlignment w:val="auto"/>
        <w:rPr>
          <w:rFonts w:hint="eastAsia" w:ascii="宋体" w:hAnsi="宋体" w:eastAsia="宋体" w:cs="宋体"/>
          <w:b w:val="0"/>
          <w:bCs w:val="0"/>
          <w:color w:val="auto"/>
          <w:kern w:val="0"/>
          <w:sz w:val="24"/>
          <w:szCs w:val="22"/>
          <w:highlight w:val="none"/>
          <w:lang w:val="en-US" w:eastAsia="zh-CN"/>
        </w:rPr>
      </w:pPr>
      <w:r>
        <w:rPr>
          <w:rFonts w:hint="eastAsia" w:ascii="宋体" w:hAnsi="宋体" w:eastAsia="宋体" w:cs="宋体"/>
          <w:b w:val="0"/>
          <w:bCs w:val="0"/>
          <w:color w:val="auto"/>
          <w:kern w:val="0"/>
          <w:sz w:val="24"/>
          <w:szCs w:val="22"/>
          <w:highlight w:val="none"/>
          <w:lang w:val="en-US" w:eastAsia="zh-CN"/>
        </w:rPr>
        <w:t>声光报警器</w:t>
      </w:r>
    </w:p>
    <w:p>
      <w:pPr>
        <w:pStyle w:val="4"/>
        <w:ind w:left="-400" w:leftChars="0" w:firstLine="640" w:firstLineChars="0"/>
        <w:rPr>
          <w:rFonts w:hint="eastAsia" w:ascii="宋体" w:hAnsi="宋体" w:eastAsia="宋体" w:cs="宋体"/>
          <w:color w:val="auto"/>
          <w:lang w:val="en-US" w:eastAsia="zh-CN"/>
        </w:rPr>
      </w:pPr>
      <w:bookmarkStart w:id="66" w:name="_Toc13120"/>
      <w:r>
        <w:rPr>
          <w:rFonts w:hint="eastAsia" w:ascii="宋体" w:hAnsi="宋体" w:eastAsia="宋体" w:cs="宋体"/>
          <w:color w:val="auto"/>
          <w:lang w:val="en-US" w:eastAsia="zh-CN"/>
        </w:rPr>
        <w:t>配置方案</w:t>
      </w:r>
      <w:bookmarkEnd w:id="66"/>
    </w:p>
    <w:p>
      <w:pPr>
        <w:spacing w:before="163" w:after="163"/>
        <w:ind w:firstLine="480"/>
        <w:rPr>
          <w:rFonts w:hint="eastAsia" w:ascii="宋体" w:hAnsi="宋体" w:eastAsia="宋体" w:cs="宋体"/>
          <w:color w:val="auto"/>
          <w:highlight w:val="none"/>
          <w:lang w:val="en-US" w:eastAsia="zh-CN"/>
        </w:rPr>
      </w:pPr>
      <w:r>
        <w:rPr>
          <w:rFonts w:hint="eastAsia" w:ascii="宋体" w:hAnsi="宋体" w:eastAsia="宋体" w:cs="宋体"/>
          <w:color w:val="auto"/>
          <w:sz w:val="24"/>
          <w:highlight w:val="none"/>
          <w:lang w:eastAsia="zh-CN" w:bidi="ar"/>
        </w:rPr>
        <w:t>机房</w:t>
      </w:r>
      <w:r>
        <w:rPr>
          <w:rFonts w:hint="eastAsia" w:ascii="宋体" w:hAnsi="宋体" w:eastAsia="宋体" w:cs="宋体"/>
          <w:color w:val="auto"/>
          <w:sz w:val="24"/>
          <w:highlight w:val="none"/>
          <w:lang w:val="en-US" w:eastAsia="zh-CN" w:bidi="ar"/>
        </w:rPr>
        <w:t>区</w:t>
      </w:r>
      <w:r>
        <w:rPr>
          <w:rFonts w:hint="eastAsia" w:ascii="宋体" w:hAnsi="宋体" w:eastAsia="宋体" w:cs="宋体"/>
          <w:color w:val="auto"/>
          <w:sz w:val="24"/>
          <w:highlight w:val="none"/>
          <w:lang w:eastAsia="zh-CN" w:bidi="ar"/>
        </w:rPr>
        <w:t>配置1套</w:t>
      </w:r>
      <w:r>
        <w:rPr>
          <w:rFonts w:hint="eastAsia" w:ascii="宋体" w:hAnsi="宋体" w:eastAsia="宋体" w:cs="宋体"/>
          <w:color w:val="auto"/>
          <w:sz w:val="24"/>
          <w:highlight w:val="none"/>
          <w:lang w:val="en-US" w:eastAsia="zh-CN" w:bidi="ar"/>
        </w:rPr>
        <w:t>报警主机和1个探测器</w:t>
      </w:r>
      <w:r>
        <w:rPr>
          <w:rFonts w:hint="eastAsia" w:ascii="宋体" w:hAnsi="宋体" w:eastAsia="宋体" w:cs="宋体"/>
          <w:color w:val="auto"/>
          <w:sz w:val="24"/>
          <w:highlight w:val="none"/>
          <w:lang w:eastAsia="zh-CN" w:bidi="ar"/>
        </w:rPr>
        <w:t>，</w:t>
      </w:r>
      <w:r>
        <w:rPr>
          <w:rFonts w:hint="eastAsia" w:ascii="宋体" w:hAnsi="宋体" w:eastAsia="宋体" w:cs="宋体"/>
          <w:color w:val="auto"/>
          <w:sz w:val="24"/>
          <w:highlight w:val="none"/>
          <w:lang w:val="en-US" w:eastAsia="zh-CN" w:bidi="ar"/>
        </w:rPr>
        <w:t>指挥区安装1个探测器，操作台上布置1个报警键盘，安全管理中心门口安装1个报警警号具体部署情况如下：</w:t>
      </w:r>
    </w:p>
    <w:p>
      <w:pPr>
        <w:keepNext w:val="0"/>
        <w:keepLines w:val="0"/>
        <w:pageBreakBefore w:val="0"/>
        <w:widowControl w:val="0"/>
        <w:kinsoku/>
        <w:wordWrap/>
        <w:overflowPunct/>
        <w:topLinePunct w:val="0"/>
        <w:autoSpaceDE/>
        <w:autoSpaceDN/>
        <w:bidi w:val="0"/>
        <w:adjustRightInd w:val="0"/>
        <w:snapToGrid/>
        <w:spacing w:before="163" w:after="163"/>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drawing>
          <wp:inline distT="0" distB="0" distL="114300" distR="114300">
            <wp:extent cx="5400040" cy="7635240"/>
            <wp:effectExtent l="0" t="0" r="10160" b="3810"/>
            <wp:docPr id="38" name="图片 38" descr="汕职院安全管理中心设计图2023.10.30F(增加入侵报警系统F)-模型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汕职院安全管理中心设计图2023.10.30F(增加入侵报警系统F)-模型_1"/>
                    <pic:cNvPicPr>
                      <a:picLocks noChangeAspect="1"/>
                    </pic:cNvPicPr>
                  </pic:nvPicPr>
                  <pic:blipFill>
                    <a:blip r:embed="rId51"/>
                    <a:stretch>
                      <a:fillRect/>
                    </a:stretch>
                  </pic:blipFill>
                  <pic:spPr>
                    <a:xfrm>
                      <a:off x="0" y="0"/>
                      <a:ext cx="5400040" cy="7635240"/>
                    </a:xfrm>
                    <a:prstGeom prst="rect">
                      <a:avLst/>
                    </a:prstGeom>
                  </pic:spPr>
                </pic:pic>
              </a:graphicData>
            </a:graphic>
          </wp:inline>
        </w:drawing>
      </w:r>
    </w:p>
    <w:p>
      <w:pPr>
        <w:spacing w:before="163" w:after="163"/>
        <w:ind w:firstLine="480"/>
        <w:jc w:val="center"/>
        <w:rPr>
          <w:rFonts w:hint="eastAsia" w:ascii="宋体" w:hAnsi="宋体" w:eastAsia="宋体" w:cs="宋体"/>
          <w:color w:val="auto"/>
          <w:highlight w:val="none"/>
          <w:lang w:val="en-US" w:eastAsia="zh-CN"/>
        </w:rPr>
      </w:pPr>
      <w:r>
        <w:rPr>
          <w:rFonts w:hint="eastAsia" w:ascii="宋体" w:hAnsi="宋体" w:eastAsia="宋体" w:cs="宋体"/>
          <w:color w:val="auto"/>
          <w:sz w:val="22"/>
          <w:szCs w:val="22"/>
          <w:highlight w:val="none"/>
          <w:u w:val="single"/>
          <w:lang w:val="en-US" w:eastAsia="zh-CN"/>
        </w:rPr>
        <w:t>安全管理中心入侵报警布置平面图</w:t>
      </w:r>
    </w:p>
    <w:p>
      <w:pPr>
        <w:pStyle w:val="3"/>
        <w:bidi w:val="0"/>
        <w:ind w:left="482" w:leftChars="0" w:hanging="425" w:firstLineChars="0"/>
        <w:rPr>
          <w:rFonts w:hint="eastAsia"/>
          <w:highlight w:val="none"/>
          <w:lang w:val="en-US" w:eastAsia="zh-CN"/>
        </w:rPr>
      </w:pPr>
      <w:bookmarkStart w:id="67" w:name="_Toc19500"/>
      <w:r>
        <w:rPr>
          <w:rFonts w:hint="eastAsia"/>
          <w:highlight w:val="none"/>
          <w:lang w:val="en-US" w:eastAsia="zh-CN"/>
        </w:rPr>
        <w:t>相关配套</w:t>
      </w:r>
      <w:bookmarkEnd w:id="67"/>
    </w:p>
    <w:p>
      <w:pPr>
        <w:pStyle w:val="4"/>
        <w:ind w:left="-400" w:leftChars="0" w:firstLine="640" w:firstLineChars="0"/>
        <w:rPr>
          <w:rFonts w:hint="eastAsia"/>
          <w:lang w:val="en-US" w:eastAsia="zh-CN"/>
        </w:rPr>
      </w:pPr>
      <w:bookmarkStart w:id="68" w:name="_Toc22449"/>
      <w:r>
        <w:rPr>
          <w:rFonts w:hint="eastAsia" w:ascii="宋体" w:hAnsi="宋体" w:cs="宋体"/>
          <w:szCs w:val="20"/>
          <w:highlight w:val="none"/>
          <w:lang w:val="en-US" w:eastAsia="zh-CN"/>
        </w:rPr>
        <w:t>空调</w:t>
      </w:r>
      <w:bookmarkEnd w:id="68"/>
    </w:p>
    <w:p>
      <w:pPr>
        <w:pStyle w:val="5"/>
        <w:bidi w:val="0"/>
        <w:ind w:left="480" w:leftChars="0" w:firstLine="0" w:firstLineChars="0"/>
        <w:rPr>
          <w:rFonts w:hint="eastAsia"/>
          <w:highlight w:val="none"/>
          <w:lang w:val="en-US" w:eastAsia="zh-CN"/>
        </w:rPr>
      </w:pPr>
      <w:r>
        <w:rPr>
          <w:rFonts w:hint="eastAsia"/>
          <w:highlight w:val="none"/>
          <w:lang w:val="en-US" w:eastAsia="zh-CN"/>
        </w:rPr>
        <w:t>设备选型思路</w:t>
      </w:r>
    </w:p>
    <w:p>
      <w:pPr>
        <w:spacing w:before="163" w:after="163"/>
        <w:ind w:firstLine="480"/>
        <w:rPr>
          <w:rFonts w:hint="eastAsia" w:ascii="宋体" w:hAnsi="宋体" w:cs="宋体"/>
          <w:highlight w:val="none"/>
          <w:lang w:val="en-US" w:eastAsia="zh-CN"/>
        </w:rPr>
      </w:pPr>
      <w:r>
        <w:rPr>
          <w:rFonts w:hint="eastAsia" w:ascii="宋体" w:hAnsi="宋体" w:cs="宋体"/>
          <w:highlight w:val="none"/>
          <w:lang w:val="en-US" w:eastAsia="zh-CN"/>
        </w:rPr>
        <w:t>选择适合机房的空调系统需要综合考虑散热需求、温控能力、节能性能、噪音性能以及可靠性和维护性等因素，并根据实际需求进行选型和配置，主要考虑以下几个因素：</w:t>
      </w:r>
    </w:p>
    <w:p>
      <w:pPr>
        <w:spacing w:before="163" w:after="163"/>
        <w:ind w:firstLine="480"/>
        <w:rPr>
          <w:rFonts w:hint="eastAsia" w:ascii="宋体" w:hAnsi="宋体" w:cs="宋体"/>
          <w:highlight w:val="none"/>
          <w:lang w:val="en-US" w:eastAsia="zh-CN"/>
        </w:rPr>
      </w:pPr>
      <w:r>
        <w:rPr>
          <w:rFonts w:hint="eastAsia" w:ascii="宋体" w:hAnsi="宋体" w:cs="宋体"/>
          <w:highlight w:val="none"/>
          <w:lang w:val="en-US" w:eastAsia="zh-CN"/>
        </w:rPr>
        <w:t>1. 散热需求：根据机房内的设备功耗和散热需求，确定空调系统的制冷容量。通常可以根据机房的面积、设备功耗和热负荷计算出合适的空调容量。</w:t>
      </w:r>
    </w:p>
    <w:p>
      <w:pPr>
        <w:spacing w:before="163" w:after="163"/>
        <w:ind w:firstLine="480"/>
        <w:rPr>
          <w:rFonts w:hint="eastAsia" w:ascii="宋体" w:hAnsi="宋体" w:cs="宋体"/>
          <w:highlight w:val="none"/>
          <w:lang w:val="en-US" w:eastAsia="zh-CN"/>
        </w:rPr>
      </w:pPr>
      <w:r>
        <w:rPr>
          <w:rFonts w:hint="eastAsia" w:ascii="宋体" w:hAnsi="宋体" w:cs="宋体"/>
          <w:highlight w:val="none"/>
          <w:lang w:val="en-US" w:eastAsia="zh-CN"/>
        </w:rPr>
        <w:t>2. 环境温控：机房内的温度和湿度对设备性能和寿命有着重要影响。因此，选择空调系统时需考虑其温度控制范围、湿度控制能力和稳定性，确保机房内环境的温湿度符合要求。</w:t>
      </w:r>
    </w:p>
    <w:p>
      <w:pPr>
        <w:spacing w:before="163" w:after="163"/>
        <w:ind w:firstLine="480"/>
        <w:rPr>
          <w:rFonts w:hint="eastAsia" w:ascii="宋体" w:hAnsi="宋体" w:cs="宋体"/>
          <w:highlight w:val="none"/>
          <w:lang w:val="en-US" w:eastAsia="zh-CN"/>
        </w:rPr>
      </w:pPr>
      <w:r>
        <w:rPr>
          <w:rFonts w:hint="eastAsia" w:ascii="宋体" w:hAnsi="宋体" w:cs="宋体"/>
          <w:highlight w:val="none"/>
          <w:lang w:val="en-US" w:eastAsia="zh-CN"/>
        </w:rPr>
        <w:t>3. 精准控制：机房要求稳定的温度和湿度控制，因此空调系统应具备精准的温湿度调节能力，并支持定时、定温、定湿等多种控制模式。</w:t>
      </w:r>
    </w:p>
    <w:p>
      <w:pPr>
        <w:spacing w:before="163" w:after="163"/>
        <w:ind w:firstLine="480"/>
        <w:rPr>
          <w:rFonts w:hint="eastAsia" w:ascii="宋体" w:hAnsi="宋体" w:cs="宋体"/>
          <w:highlight w:val="none"/>
          <w:lang w:val="en-US" w:eastAsia="zh-CN"/>
        </w:rPr>
      </w:pPr>
      <w:r>
        <w:rPr>
          <w:rFonts w:hint="eastAsia" w:ascii="宋体" w:hAnsi="宋体" w:cs="宋体"/>
          <w:highlight w:val="none"/>
          <w:lang w:val="en-US" w:eastAsia="zh-CN"/>
        </w:rPr>
        <w:t>4. 效能和节能：选择空调系统时，应考虑其能效比和节能性能，以减少能源消耗和运营成本。可选择具备能效标识（例如能效等级）和智能节能功能的空调系统。</w:t>
      </w:r>
    </w:p>
    <w:p>
      <w:pPr>
        <w:spacing w:before="163" w:after="163"/>
        <w:ind w:firstLine="480"/>
        <w:rPr>
          <w:rFonts w:hint="eastAsia" w:ascii="宋体" w:hAnsi="宋体" w:cs="宋体"/>
          <w:highlight w:val="none"/>
          <w:lang w:val="en-US" w:eastAsia="zh-CN"/>
        </w:rPr>
      </w:pPr>
      <w:r>
        <w:rPr>
          <w:rFonts w:hint="eastAsia" w:ascii="宋体" w:hAnsi="宋体" w:cs="宋体"/>
          <w:highlight w:val="none"/>
          <w:lang w:val="en-US" w:eastAsia="zh-CN"/>
        </w:rPr>
        <w:t>5. 静音性能：机房通常要求较低的噪音水平，以减少对工作人员和设备的干扰。因此，选择低噪音设计的空调系统能提供舒适的工作环境。</w:t>
      </w:r>
    </w:p>
    <w:p>
      <w:pPr>
        <w:spacing w:before="163" w:after="163"/>
        <w:ind w:firstLine="480"/>
        <w:rPr>
          <w:rFonts w:hint="eastAsia" w:ascii="宋体" w:hAnsi="宋体" w:cs="宋体"/>
          <w:highlight w:val="none"/>
          <w:lang w:val="en-US" w:eastAsia="zh-CN"/>
        </w:rPr>
      </w:pPr>
      <w:r>
        <w:rPr>
          <w:rFonts w:hint="eastAsia" w:ascii="宋体" w:hAnsi="宋体" w:cs="宋体"/>
          <w:highlight w:val="none"/>
          <w:lang w:val="en-US" w:eastAsia="zh-CN"/>
        </w:rPr>
        <w:t>6. 可靠性和维护性：机房的运行对稳定性和可靠性要求较高，选择具备良好可靠性和易于维护的空调系统，以降低维护成本和维修时间。</w:t>
      </w:r>
    </w:p>
    <w:p>
      <w:pPr>
        <w:pStyle w:val="5"/>
        <w:bidi w:val="0"/>
        <w:ind w:left="480" w:leftChars="0" w:firstLine="0" w:firstLineChars="0"/>
        <w:rPr>
          <w:rFonts w:hint="eastAsia" w:ascii="宋体" w:hAnsi="宋体" w:cs="宋体"/>
          <w:highlight w:val="none"/>
          <w:lang w:val="en-US" w:eastAsia="zh-CN"/>
        </w:rPr>
      </w:pPr>
      <w:r>
        <w:rPr>
          <w:rFonts w:hint="eastAsia"/>
          <w:highlight w:val="none"/>
          <w:lang w:val="en-US" w:eastAsia="zh-CN"/>
        </w:rPr>
        <w:t>设备部署情况</w:t>
      </w:r>
    </w:p>
    <w:p>
      <w:pPr>
        <w:spacing w:before="163" w:after="163"/>
        <w:ind w:firstLine="480"/>
        <w:rPr>
          <w:rFonts w:hint="eastAsia" w:ascii="宋体" w:hAnsi="宋体" w:cs="宋体"/>
          <w:highlight w:val="none"/>
        </w:rPr>
      </w:pPr>
      <w:r>
        <w:rPr>
          <w:rFonts w:hint="eastAsia" w:ascii="宋体" w:hAnsi="宋体" w:cs="宋体"/>
          <w:highlight w:val="none"/>
        </w:rPr>
        <w:t>安防机房处于长时间连续运行状态，设备的安全运行十分重要，同时无论是冬季还是夏季的日照时间均较长，所以机房的热负荷较大，为了给安防机房提供一个良好的工作环境，</w:t>
      </w:r>
      <w:r>
        <w:rPr>
          <w:rFonts w:hint="eastAsia" w:ascii="宋体" w:hAnsi="宋体" w:cs="宋体"/>
          <w:highlight w:val="none"/>
          <w:lang w:val="en-US" w:eastAsia="zh-CN"/>
        </w:rPr>
        <w:t>安全管理中心</w:t>
      </w:r>
      <w:r>
        <w:rPr>
          <w:rFonts w:hint="eastAsia" w:ascii="宋体" w:hAnsi="宋体" w:cs="宋体"/>
          <w:highlight w:val="none"/>
        </w:rPr>
        <w:t>按照实际热负荷计算（约300W/h.m2热负荷计算）。</w:t>
      </w:r>
    </w:p>
    <w:p>
      <w:pPr>
        <w:pStyle w:val="46"/>
        <w:numPr>
          <w:ilvl w:val="0"/>
          <w:numId w:val="15"/>
        </w:numPr>
        <w:ind w:firstLineChars="0"/>
        <w:rPr>
          <w:rFonts w:ascii="宋体" w:hAnsi="宋体" w:cs="宋体"/>
          <w:highlight w:val="none"/>
        </w:rPr>
      </w:pPr>
      <w:r>
        <w:rPr>
          <w:rFonts w:hint="eastAsia" w:ascii="宋体" w:hAnsi="宋体" w:cs="宋体"/>
          <w:highlight w:val="none"/>
        </w:rPr>
        <w:t>操作区：约</w:t>
      </w:r>
      <w:r>
        <w:rPr>
          <w:rFonts w:hint="eastAsia" w:ascii="宋体" w:hAnsi="宋体" w:cs="宋体"/>
          <w:highlight w:val="none"/>
          <w:lang w:val="en-US" w:eastAsia="zh-CN"/>
        </w:rPr>
        <w:t>55.4</w:t>
      </w:r>
      <w:r>
        <w:rPr>
          <w:rFonts w:hint="eastAsia" w:ascii="宋体" w:hAnsi="宋体" w:cs="宋体"/>
          <w:highlight w:val="none"/>
        </w:rPr>
        <w:t>平方，配置</w:t>
      </w:r>
      <w:r>
        <w:rPr>
          <w:rFonts w:hint="eastAsia" w:ascii="宋体" w:hAnsi="宋体" w:cs="宋体"/>
          <w:highlight w:val="none"/>
          <w:lang w:val="en-US" w:eastAsia="zh-CN"/>
        </w:rPr>
        <w:t>1</w:t>
      </w:r>
      <w:r>
        <w:rPr>
          <w:rFonts w:hint="eastAsia" w:ascii="宋体" w:hAnsi="宋体" w:cs="宋体"/>
          <w:highlight w:val="none"/>
        </w:rPr>
        <w:t>台3匹空调</w:t>
      </w:r>
      <w:r>
        <w:rPr>
          <w:rFonts w:hint="eastAsia" w:ascii="宋体" w:hAnsi="宋体" w:cs="宋体"/>
          <w:highlight w:val="none"/>
          <w:lang w:val="en-US" w:eastAsia="zh-CN"/>
        </w:rPr>
        <w:t>;</w:t>
      </w:r>
    </w:p>
    <w:p>
      <w:pPr>
        <w:pStyle w:val="46"/>
        <w:numPr>
          <w:ilvl w:val="0"/>
          <w:numId w:val="15"/>
        </w:numPr>
        <w:ind w:firstLineChars="0"/>
        <w:rPr>
          <w:rFonts w:ascii="宋体" w:hAnsi="宋体" w:cs="宋体"/>
          <w:highlight w:val="none"/>
        </w:rPr>
      </w:pPr>
      <w:r>
        <w:rPr>
          <w:rFonts w:hint="eastAsia" w:ascii="宋体" w:hAnsi="宋体" w:cs="宋体"/>
          <w:highlight w:val="none"/>
        </w:rPr>
        <w:t>机房区：约</w:t>
      </w:r>
      <w:r>
        <w:rPr>
          <w:rFonts w:hint="eastAsia" w:ascii="宋体" w:hAnsi="宋体" w:cs="宋体"/>
          <w:highlight w:val="none"/>
          <w:lang w:val="en-US" w:eastAsia="zh-CN"/>
        </w:rPr>
        <w:t>21.9</w:t>
      </w:r>
      <w:r>
        <w:rPr>
          <w:rFonts w:hint="eastAsia" w:ascii="宋体" w:hAnsi="宋体" w:cs="宋体"/>
          <w:highlight w:val="none"/>
        </w:rPr>
        <w:t>平方，配置2台3匹空调</w:t>
      </w:r>
      <w:r>
        <w:rPr>
          <w:rFonts w:hint="eastAsia" w:ascii="宋体" w:hAnsi="宋体" w:cs="宋体"/>
          <w:highlight w:val="none"/>
          <w:lang w:val="en-US" w:eastAsia="zh-CN"/>
        </w:rPr>
        <w:t>(轮流使用);</w:t>
      </w:r>
    </w:p>
    <w:p>
      <w:pPr>
        <w:pStyle w:val="46"/>
        <w:numPr>
          <w:ilvl w:val="0"/>
          <w:numId w:val="0"/>
        </w:numPr>
        <w:rPr>
          <w:rFonts w:hint="eastAsia" w:eastAsia="宋体"/>
          <w:lang w:eastAsia="zh-CN"/>
        </w:rPr>
      </w:pPr>
      <w:r>
        <w:drawing>
          <wp:inline distT="0" distB="0" distL="114300" distR="114300">
            <wp:extent cx="5092065" cy="5014595"/>
            <wp:effectExtent l="0" t="0" r="13335" b="14605"/>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52"/>
                    <a:stretch>
                      <a:fillRect/>
                    </a:stretch>
                  </pic:blipFill>
                  <pic:spPr>
                    <a:xfrm>
                      <a:off x="0" y="0"/>
                      <a:ext cx="5092065" cy="5014595"/>
                    </a:xfrm>
                    <a:prstGeom prst="rect">
                      <a:avLst/>
                    </a:prstGeom>
                    <a:noFill/>
                    <a:ln>
                      <a:noFill/>
                    </a:ln>
                  </pic:spPr>
                </pic:pic>
              </a:graphicData>
            </a:graphic>
          </wp:inline>
        </w:drawing>
      </w:r>
    </w:p>
    <w:p>
      <w:pPr>
        <w:ind w:left="0" w:leftChars="0" w:firstLine="0" w:firstLineChars="0"/>
        <w:jc w:val="center"/>
        <w:rPr>
          <w:rFonts w:hint="eastAsia" w:ascii="黑体" w:hAnsi="黑体" w:eastAsia="黑体" w:cs="黑体"/>
          <w:sz w:val="22"/>
          <w:szCs w:val="22"/>
          <w:highlight w:val="none"/>
          <w:u w:val="single"/>
          <w:lang w:val="en-US" w:eastAsia="zh-CN"/>
        </w:rPr>
      </w:pPr>
      <w:r>
        <w:rPr>
          <w:rFonts w:hint="eastAsia" w:ascii="黑体" w:hAnsi="黑体" w:eastAsia="黑体" w:cs="黑体"/>
          <w:sz w:val="22"/>
          <w:szCs w:val="22"/>
          <w:highlight w:val="none"/>
          <w:u w:val="single"/>
          <w:lang w:val="en-US" w:eastAsia="zh-CN"/>
        </w:rPr>
        <w:t>安全管理中心空调布置平面图</w:t>
      </w:r>
    </w:p>
    <w:p>
      <w:pPr>
        <w:pStyle w:val="4"/>
        <w:ind w:left="-400" w:leftChars="0" w:firstLine="640" w:firstLineChars="0"/>
        <w:rPr>
          <w:rFonts w:hint="eastAsia"/>
          <w:lang w:val="en-US" w:eastAsia="zh-CN"/>
        </w:rPr>
      </w:pPr>
      <w:bookmarkStart w:id="69" w:name="_Toc8375"/>
      <w:r>
        <w:rPr>
          <w:rFonts w:hint="eastAsia"/>
          <w:lang w:val="en-US" w:eastAsia="zh-CN"/>
        </w:rPr>
        <w:t>其他配套</w:t>
      </w:r>
      <w:bookmarkEnd w:id="69"/>
    </w:p>
    <w:p>
      <w:pPr>
        <w:spacing w:before="163" w:after="163"/>
        <w:ind w:firstLine="480"/>
        <w:rPr>
          <w:rFonts w:hint="eastAsia" w:ascii="宋体" w:hAnsi="宋体" w:cs="宋体"/>
          <w:highlight w:val="none"/>
          <w:lang w:val="en-US" w:eastAsia="zh-CN"/>
        </w:rPr>
      </w:pPr>
      <w:r>
        <w:rPr>
          <w:rFonts w:hint="eastAsia" w:ascii="宋体" w:hAnsi="宋体" w:cs="宋体"/>
          <w:highlight w:val="none"/>
          <w:lang w:val="en-US" w:eastAsia="zh-CN"/>
        </w:rPr>
        <w:t>除配置空调系统外，根据项目需求，另外配置以下内容：</w:t>
      </w:r>
    </w:p>
    <w:p>
      <w:pPr>
        <w:numPr>
          <w:ilvl w:val="0"/>
          <w:numId w:val="16"/>
        </w:numPr>
        <w:spacing w:before="163" w:after="163"/>
        <w:ind w:firstLine="480"/>
        <w:rPr>
          <w:rFonts w:hint="default" w:ascii="宋体" w:hAnsi="宋体" w:cs="宋体"/>
          <w:highlight w:val="none"/>
          <w:lang w:val="en-US" w:eastAsia="zh-CN"/>
        </w:rPr>
      </w:pPr>
      <w:r>
        <w:rPr>
          <w:rFonts w:hint="eastAsia" w:ascii="宋体" w:hAnsi="宋体" w:cs="宋体"/>
          <w:highlight w:val="none"/>
          <w:lang w:val="en-US" w:eastAsia="zh-CN"/>
        </w:rPr>
        <w:t>机房区内配置1台抽湿器，用于控制机房内湿度；</w:t>
      </w:r>
    </w:p>
    <w:p>
      <w:pPr>
        <w:numPr>
          <w:ilvl w:val="0"/>
          <w:numId w:val="16"/>
        </w:numPr>
        <w:spacing w:before="163" w:after="163"/>
        <w:ind w:firstLine="480"/>
        <w:rPr>
          <w:rFonts w:hint="eastAsia" w:ascii="宋体" w:hAnsi="宋体" w:cs="宋体"/>
          <w:highlight w:val="none"/>
          <w:lang w:val="en-US" w:eastAsia="zh-CN"/>
        </w:rPr>
      </w:pPr>
      <w:r>
        <w:rPr>
          <w:rFonts w:hint="eastAsia" w:ascii="宋体" w:hAnsi="宋体" w:cs="宋体"/>
          <w:highlight w:val="none"/>
          <w:lang w:val="en-US" w:eastAsia="zh-CN"/>
        </w:rPr>
        <w:t>机房计划放置5个机柜，有1个机柜为利旧使用，计划新增4个42U服务器机柜，用于放置迁移至新机房的网络和监控系统核心设备。且采用镀锌方管制作机柜底座，放置静电地板持久受压导致变形；</w:t>
      </w:r>
    </w:p>
    <w:p>
      <w:pPr>
        <w:numPr>
          <w:ilvl w:val="0"/>
          <w:numId w:val="16"/>
        </w:numPr>
        <w:spacing w:before="163" w:after="163"/>
        <w:ind w:firstLine="480"/>
        <w:rPr>
          <w:rFonts w:hint="default" w:ascii="宋体" w:hAnsi="宋体" w:cs="宋体"/>
          <w:highlight w:val="none"/>
          <w:lang w:val="en-US" w:eastAsia="zh-CN"/>
        </w:rPr>
      </w:pPr>
      <w:r>
        <w:rPr>
          <w:rFonts w:hint="eastAsia" w:ascii="宋体" w:hAnsi="宋体" w:cs="宋体"/>
          <w:highlight w:val="none"/>
          <w:lang w:val="en-US" w:eastAsia="zh-CN"/>
        </w:rPr>
        <w:t>每个机柜配置2个八位PDU插座，共新增10个八位PDU插座；（含利旧机柜的2个）；</w:t>
      </w:r>
    </w:p>
    <w:p>
      <w:pPr>
        <w:numPr>
          <w:ilvl w:val="0"/>
          <w:numId w:val="16"/>
        </w:numPr>
        <w:spacing w:before="163" w:after="163"/>
        <w:ind w:firstLine="480"/>
        <w:rPr>
          <w:rFonts w:hint="default" w:ascii="宋体" w:hAnsi="宋体" w:cs="宋体"/>
          <w:highlight w:val="none"/>
          <w:lang w:val="en-US" w:eastAsia="zh-CN"/>
        </w:rPr>
      </w:pPr>
      <w:r>
        <w:rPr>
          <w:rFonts w:hint="eastAsia" w:ascii="宋体" w:hAnsi="宋体" w:cs="宋体"/>
          <w:highlight w:val="none"/>
          <w:lang w:val="en-US" w:eastAsia="zh-CN"/>
        </w:rPr>
        <w:t>于机房和操作区静电地板下，部署“日”字型接地紫铜带，采用BV 50mm接地线缆连接大楼公共接地，相关设备和机柜等采用BV2.5与接地圈相连；</w:t>
      </w:r>
    </w:p>
    <w:p>
      <w:pPr>
        <w:numPr>
          <w:ilvl w:val="0"/>
          <w:numId w:val="16"/>
        </w:numPr>
        <w:spacing w:before="163" w:after="163"/>
        <w:ind w:firstLine="480"/>
        <w:rPr>
          <w:rFonts w:hint="default" w:ascii="黑体" w:hAnsi="黑体" w:eastAsia="黑体" w:cs="黑体"/>
          <w:sz w:val="22"/>
          <w:szCs w:val="22"/>
          <w:highlight w:val="none"/>
          <w:u w:val="single"/>
          <w:lang w:val="en-US" w:eastAsia="zh-CN"/>
        </w:rPr>
      </w:pPr>
      <w:r>
        <w:rPr>
          <w:rFonts w:hint="eastAsia" w:ascii="宋体" w:hAnsi="宋体" w:cs="宋体"/>
          <w:highlight w:val="none"/>
          <w:lang w:val="en-US" w:eastAsia="zh-CN"/>
        </w:rPr>
        <w:t>操作区，配置一套3联操作台和3张座椅。</w:t>
      </w:r>
    </w:p>
    <w:p>
      <w:pPr>
        <w:pStyle w:val="3"/>
        <w:bidi w:val="0"/>
        <w:ind w:left="482" w:leftChars="0" w:hanging="425" w:firstLineChars="0"/>
        <w:rPr>
          <w:rFonts w:hint="eastAsia"/>
          <w:highlight w:val="none"/>
          <w:lang w:val="en-US" w:eastAsia="zh-CN"/>
        </w:rPr>
      </w:pPr>
      <w:bookmarkStart w:id="70" w:name="_Toc30613"/>
      <w:r>
        <w:rPr>
          <w:rFonts w:hint="eastAsia"/>
          <w:highlight w:val="none"/>
          <w:lang w:val="en-US" w:eastAsia="zh-CN"/>
        </w:rPr>
        <w:t>机房和平台迁移</w:t>
      </w:r>
      <w:bookmarkEnd w:id="70"/>
    </w:p>
    <w:p>
      <w:pPr>
        <w:pStyle w:val="4"/>
        <w:ind w:left="-400" w:leftChars="0" w:firstLine="640" w:firstLineChars="0"/>
        <w:rPr>
          <w:rFonts w:hint="eastAsia"/>
          <w:lang w:val="en-US" w:eastAsia="zh-CN"/>
        </w:rPr>
      </w:pPr>
      <w:bookmarkStart w:id="71" w:name="_Toc16155"/>
      <w:r>
        <w:rPr>
          <w:rFonts w:hint="eastAsia"/>
          <w:lang w:val="en-US" w:eastAsia="zh-CN"/>
        </w:rPr>
        <w:t>实施思路</w:t>
      </w:r>
      <w:bookmarkEnd w:id="71"/>
    </w:p>
    <w:p>
      <w:pPr>
        <w:spacing w:before="163" w:after="163" w:line="360" w:lineRule="auto"/>
        <w:ind w:firstLine="480" w:firstLineChars="200"/>
        <w:rPr>
          <w:rFonts w:hint="eastAsia" w:ascii="宋体" w:hAnsi="宋体" w:cs="宋体"/>
          <w:szCs w:val="20"/>
          <w:lang w:val="en-US" w:eastAsia="zh-CN"/>
        </w:rPr>
      </w:pPr>
      <w:r>
        <w:rPr>
          <w:rFonts w:hint="eastAsia" w:ascii="宋体" w:hAnsi="宋体" w:cs="宋体"/>
          <w:szCs w:val="20"/>
          <w:lang w:val="en-US" w:eastAsia="zh-CN"/>
        </w:rPr>
        <w:t>为实现安全管理中心</w:t>
      </w:r>
      <w:r>
        <w:rPr>
          <w:rFonts w:hint="eastAsia" w:ascii="宋体" w:hAnsi="宋体" w:cs="宋体"/>
          <w:szCs w:val="20"/>
        </w:rPr>
        <w:t>统一指挥，综合联动</w:t>
      </w:r>
      <w:r>
        <w:rPr>
          <w:rFonts w:hint="eastAsia" w:ascii="宋体" w:hAnsi="宋体" w:cs="宋体"/>
          <w:szCs w:val="20"/>
          <w:lang w:eastAsia="zh-CN"/>
        </w:rPr>
        <w:t>的</w:t>
      </w:r>
      <w:r>
        <w:rPr>
          <w:rFonts w:hint="eastAsia" w:ascii="宋体" w:hAnsi="宋体" w:cs="宋体"/>
          <w:szCs w:val="20"/>
          <w:lang w:val="en-US" w:eastAsia="zh-CN"/>
        </w:rPr>
        <w:t>建设目标，理论上不仅需要学院现有视频监控系统资源进行迁移，还需要进行整合。</w:t>
      </w:r>
    </w:p>
    <w:p>
      <w:pPr>
        <w:spacing w:before="163" w:after="163" w:line="360" w:lineRule="auto"/>
        <w:ind w:firstLine="480" w:firstLineChars="200"/>
        <w:rPr>
          <w:rFonts w:hint="default" w:ascii="宋体" w:hAnsi="宋体" w:cs="宋体"/>
          <w:szCs w:val="20"/>
          <w:lang w:val="en-US" w:eastAsia="zh-CN"/>
        </w:rPr>
      </w:pPr>
      <w:r>
        <w:rPr>
          <w:rFonts w:hint="eastAsia" w:ascii="宋体" w:hAnsi="宋体" w:cs="宋体"/>
          <w:szCs w:val="20"/>
          <w:lang w:val="en-US" w:eastAsia="zh-CN"/>
        </w:rPr>
        <w:t>因足球场视频监控系统和学院视频监控系统均采用品牌“大华”，根据建设单位使用意见，</w:t>
      </w:r>
      <w:r>
        <w:rPr>
          <w:rFonts w:hint="eastAsia" w:ascii="宋体" w:hAnsi="宋体" w:cs="宋体"/>
          <w:szCs w:val="20"/>
          <w:u w:val="single"/>
          <w:lang w:val="en-US" w:eastAsia="zh-CN"/>
        </w:rPr>
        <w:t>本次将这足球视频监控系统整合到学院视频监控系统中，实现一个后台统一管理。</w:t>
      </w:r>
    </w:p>
    <w:p>
      <w:pPr>
        <w:spacing w:before="163" w:after="163" w:line="360" w:lineRule="auto"/>
        <w:ind w:firstLine="480" w:firstLineChars="200"/>
        <w:rPr>
          <w:rFonts w:hint="eastAsia" w:ascii="宋体" w:hAnsi="宋体" w:cs="宋体"/>
          <w:szCs w:val="20"/>
          <w:lang w:val="en-US" w:eastAsia="zh-CN"/>
        </w:rPr>
      </w:pPr>
      <w:r>
        <w:rPr>
          <w:rFonts w:hint="eastAsia" w:ascii="宋体" w:hAnsi="宋体" w:cs="宋体"/>
          <w:szCs w:val="20"/>
          <w:lang w:val="en-US" w:eastAsia="zh-CN"/>
        </w:rPr>
        <w:t>但从方案上述“2.1.2 视频专网现状”章节和“2.1.3 视频监控系统现状”可知，新楼视频监控系统和学院视频监控系统的平台资源整合将面临很多难点。</w:t>
      </w:r>
    </w:p>
    <w:p>
      <w:pPr>
        <w:spacing w:before="163" w:after="163" w:line="360" w:lineRule="auto"/>
        <w:ind w:firstLine="480" w:firstLineChars="200"/>
        <w:rPr>
          <w:rFonts w:hint="eastAsia" w:ascii="宋体" w:hAnsi="宋体" w:cs="宋体"/>
          <w:szCs w:val="20"/>
          <w:lang w:val="en-US" w:eastAsia="zh-CN"/>
        </w:rPr>
      </w:pPr>
      <w:r>
        <w:rPr>
          <w:rFonts w:hint="eastAsia" w:ascii="宋体" w:hAnsi="宋体" w:cs="宋体"/>
          <w:szCs w:val="20"/>
          <w:lang w:val="en-US" w:eastAsia="zh-CN"/>
        </w:rPr>
        <w:t>首先，学院视频专网和新楼视频专网相互独立，且物理隔离；其次，学院的视频监控系统经过多个大项目和若干零散项目扩容，架构变得庞大且复杂；最后也是最重要的，学院视频专网采用的是“大华”平台，而新楼视频监控系统采用的是市场小众品牌“德尓克”，两者在兼容性上存在较大风险。</w:t>
      </w:r>
    </w:p>
    <w:p>
      <w:pPr>
        <w:spacing w:before="163" w:after="163" w:line="360" w:lineRule="auto"/>
        <w:ind w:firstLine="480" w:firstLineChars="200"/>
        <w:rPr>
          <w:rFonts w:hint="default" w:ascii="宋体" w:hAnsi="宋体" w:cs="宋体"/>
          <w:szCs w:val="20"/>
          <w:lang w:val="en-US" w:eastAsia="zh-CN"/>
        </w:rPr>
      </w:pPr>
      <w:r>
        <w:rPr>
          <w:rFonts w:hint="eastAsia" w:ascii="宋体" w:hAnsi="宋体" w:cs="宋体"/>
          <w:szCs w:val="20"/>
          <w:lang w:val="en-US" w:eastAsia="zh-CN"/>
        </w:rPr>
        <w:t>针对学院“双视频监控平台”的问题，我们提出三个解决思路：</w:t>
      </w:r>
    </w:p>
    <w:p>
      <w:pPr>
        <w:spacing w:before="163" w:after="163" w:line="360" w:lineRule="auto"/>
        <w:ind w:firstLine="480" w:firstLineChars="200"/>
        <w:rPr>
          <w:rFonts w:hint="default" w:ascii="宋体" w:hAnsi="宋体" w:cs="宋体"/>
          <w:szCs w:val="20"/>
          <w:lang w:val="en-US" w:eastAsia="zh-CN"/>
        </w:rPr>
      </w:pPr>
      <w:r>
        <w:rPr>
          <w:rFonts w:hint="eastAsia" w:ascii="宋体" w:hAnsi="宋体" w:cs="宋体"/>
          <w:szCs w:val="20"/>
          <w:lang w:val="en-US" w:eastAsia="zh-CN"/>
        </w:rPr>
        <w:t>第一个方案是直接进行平台之间的对接。该方案涉及两个平台的开发厂商的开发定制，对接效果存在风险，且费用较高。</w:t>
      </w:r>
    </w:p>
    <w:p>
      <w:pPr>
        <w:spacing w:before="163" w:after="163" w:line="360" w:lineRule="auto"/>
        <w:ind w:firstLine="480" w:firstLineChars="200"/>
        <w:rPr>
          <w:rFonts w:hint="eastAsia" w:ascii="宋体" w:hAnsi="宋体" w:cs="宋体"/>
          <w:szCs w:val="20"/>
          <w:lang w:val="en-US" w:eastAsia="zh-CN"/>
        </w:rPr>
      </w:pPr>
      <w:r>
        <w:rPr>
          <w:rFonts w:hint="eastAsia" w:ascii="宋体" w:hAnsi="宋体" w:cs="宋体"/>
          <w:szCs w:val="20"/>
          <w:lang w:val="en-US" w:eastAsia="zh-CN"/>
        </w:rPr>
        <w:t>第二个方案是放弃“德尓克”视频监控后台，将新楼的监控摄像机、网络资源接入到学院视频监控系统中。该方案需要对学院视频监控系统的存储、授权、流媒体能力、算力等进行扩容。但实施难度和费用相对于第一个方案更低。</w:t>
      </w:r>
    </w:p>
    <w:p>
      <w:pPr>
        <w:spacing w:before="163" w:after="163" w:line="360" w:lineRule="auto"/>
        <w:ind w:firstLine="480" w:firstLineChars="200"/>
        <w:rPr>
          <w:rFonts w:hint="eastAsia" w:ascii="宋体" w:hAnsi="宋体" w:cs="宋体"/>
          <w:szCs w:val="20"/>
          <w:lang w:val="en-US" w:eastAsia="zh-CN"/>
        </w:rPr>
      </w:pPr>
      <w:r>
        <w:rPr>
          <w:rFonts w:hint="eastAsia" w:ascii="宋体" w:hAnsi="宋体" w:cs="宋体"/>
          <w:szCs w:val="20"/>
          <w:lang w:val="en-US" w:eastAsia="zh-CN"/>
        </w:rPr>
        <w:t>第三个方案是暂时保持“双监控平台”的模式，仅对两个平台的核心设备进行迁移。该方案确保双平台在安全管理中心可以正常控制、上墙显示，且实施难度、工期、费用最低。</w:t>
      </w:r>
    </w:p>
    <w:p>
      <w:pPr>
        <w:spacing w:before="163" w:after="163" w:line="360" w:lineRule="auto"/>
        <w:ind w:firstLine="480" w:firstLineChars="200"/>
        <w:rPr>
          <w:rFonts w:hint="eastAsia" w:ascii="宋体" w:hAnsi="宋体" w:cs="宋体"/>
          <w:szCs w:val="20"/>
          <w:u w:val="single"/>
          <w:lang w:val="en-US" w:eastAsia="zh-CN"/>
        </w:rPr>
      </w:pPr>
      <w:r>
        <w:rPr>
          <w:rFonts w:hint="eastAsia" w:ascii="宋体" w:hAnsi="宋体" w:cs="宋体"/>
          <w:szCs w:val="20"/>
          <w:lang w:val="en-US" w:eastAsia="zh-CN"/>
        </w:rPr>
        <w:t>受投资概算限制，方案一、方案二均无法实施。本项目拟采用第三个方案，</w:t>
      </w:r>
      <w:r>
        <w:rPr>
          <w:rFonts w:hint="eastAsia" w:ascii="宋体" w:hAnsi="宋体" w:cs="宋体"/>
          <w:szCs w:val="20"/>
          <w:u w:val="single"/>
          <w:lang w:val="en-US" w:eastAsia="zh-CN"/>
        </w:rPr>
        <w:t>暂时性保持学院“双监控平台”模式，实施方案以尽量“迁移平台”主控设备为主要目的。</w:t>
      </w:r>
    </w:p>
    <w:p>
      <w:pPr>
        <w:pStyle w:val="4"/>
        <w:ind w:left="-400" w:leftChars="0" w:firstLine="640" w:firstLineChars="0"/>
        <w:rPr>
          <w:rFonts w:hint="eastAsia"/>
          <w:lang w:val="en-US" w:eastAsia="zh-CN"/>
        </w:rPr>
      </w:pPr>
      <w:bookmarkStart w:id="72" w:name="_Toc7766"/>
      <w:r>
        <w:rPr>
          <w:rFonts w:hint="eastAsia"/>
          <w:lang w:val="en-US" w:eastAsia="zh-CN"/>
        </w:rPr>
        <w:t>迁移工作量</w:t>
      </w:r>
      <w:bookmarkEnd w:id="72"/>
    </w:p>
    <w:p>
      <w:pPr>
        <w:rPr>
          <w:rFonts w:hint="default"/>
          <w:lang w:val="en-US" w:eastAsia="zh-CN"/>
        </w:rPr>
      </w:pPr>
      <w:r>
        <w:rPr>
          <w:rFonts w:hint="eastAsia"/>
          <w:lang w:val="en-US" w:eastAsia="zh-CN"/>
        </w:rPr>
        <w:t>对原有“双监控平台”的核心设备进行迁移，包含服务器、网络设备等搬迁，工作量包括以下内容：</w:t>
      </w:r>
    </w:p>
    <w:p>
      <w:pPr>
        <w:numPr>
          <w:ilvl w:val="0"/>
          <w:numId w:val="17"/>
        </w:numPr>
        <w:ind w:left="905" w:leftChars="0" w:hanging="425" w:firstLineChars="0"/>
        <w:rPr>
          <w:rFonts w:hint="eastAsia"/>
          <w:lang w:val="en-US" w:eastAsia="zh-CN"/>
        </w:rPr>
      </w:pPr>
      <w:r>
        <w:rPr>
          <w:rFonts w:hint="eastAsia"/>
          <w:lang w:val="en-US" w:eastAsia="zh-CN"/>
        </w:rPr>
        <w:t>项目前期调研，如项目调研、线路摸查、寻线和测线；</w:t>
      </w:r>
    </w:p>
    <w:p>
      <w:pPr>
        <w:numPr>
          <w:ilvl w:val="0"/>
          <w:numId w:val="17"/>
        </w:numPr>
        <w:ind w:left="905" w:leftChars="0" w:hanging="425" w:firstLineChars="0"/>
        <w:rPr>
          <w:rFonts w:hint="eastAsia"/>
          <w:lang w:val="en-US" w:eastAsia="zh-CN"/>
        </w:rPr>
      </w:pPr>
      <w:r>
        <w:rPr>
          <w:rFonts w:hint="eastAsia"/>
          <w:lang w:val="en-US" w:eastAsia="zh-CN"/>
        </w:rPr>
        <w:t>网络和系统的割接；</w:t>
      </w:r>
    </w:p>
    <w:p>
      <w:pPr>
        <w:numPr>
          <w:ilvl w:val="0"/>
          <w:numId w:val="17"/>
        </w:numPr>
        <w:ind w:left="905" w:leftChars="0" w:hanging="425" w:firstLineChars="0"/>
        <w:rPr>
          <w:rFonts w:hint="eastAsia"/>
          <w:lang w:val="en-US" w:eastAsia="zh-CN"/>
        </w:rPr>
      </w:pPr>
      <w:r>
        <w:rPr>
          <w:rFonts w:hint="eastAsia"/>
          <w:lang w:val="en-US" w:eastAsia="zh-CN"/>
        </w:rPr>
        <w:t>设备下架打包、拆包上架固定、机柜整理；</w:t>
      </w:r>
    </w:p>
    <w:p>
      <w:pPr>
        <w:numPr>
          <w:ilvl w:val="0"/>
          <w:numId w:val="17"/>
        </w:numPr>
        <w:ind w:left="905" w:leftChars="0" w:hanging="425" w:firstLineChars="0"/>
        <w:rPr>
          <w:rFonts w:hint="eastAsia"/>
          <w:lang w:val="en-US" w:eastAsia="zh-CN"/>
        </w:rPr>
      </w:pPr>
      <w:r>
        <w:rPr>
          <w:rFonts w:hint="eastAsia"/>
          <w:lang w:val="en-US" w:eastAsia="zh-CN"/>
        </w:rPr>
        <w:t>设备标识、端口标识、线路标识、数据检查；</w:t>
      </w:r>
    </w:p>
    <w:p>
      <w:pPr>
        <w:numPr>
          <w:ilvl w:val="0"/>
          <w:numId w:val="17"/>
        </w:numPr>
        <w:ind w:left="905" w:leftChars="0" w:hanging="425" w:firstLineChars="0"/>
        <w:rPr>
          <w:rFonts w:hint="eastAsia"/>
          <w:lang w:val="en-US" w:eastAsia="zh-CN"/>
        </w:rPr>
      </w:pPr>
      <w:r>
        <w:rPr>
          <w:rFonts w:hint="eastAsia"/>
          <w:lang w:val="en-US" w:eastAsia="zh-CN"/>
        </w:rPr>
        <w:t>设备通电、系统恢复、数据检查、参数核对；</w:t>
      </w:r>
    </w:p>
    <w:p>
      <w:pPr>
        <w:numPr>
          <w:ilvl w:val="0"/>
          <w:numId w:val="17"/>
        </w:numPr>
        <w:ind w:left="905" w:leftChars="0" w:hanging="425" w:firstLineChars="0"/>
        <w:rPr>
          <w:rFonts w:hint="eastAsia"/>
          <w:lang w:val="en-US" w:eastAsia="zh-CN"/>
        </w:rPr>
      </w:pPr>
      <w:r>
        <w:rPr>
          <w:rFonts w:hint="eastAsia"/>
          <w:lang w:val="en-US" w:eastAsia="zh-CN"/>
        </w:rPr>
        <w:t>配套搬迁所需要的所有辅材和工具（如纸箱、打包气泡膜、标签纸、记号笔、胶布、运输车辆等）。</w:t>
      </w:r>
    </w:p>
    <w:p>
      <w:pPr>
        <w:pStyle w:val="4"/>
        <w:ind w:left="-400" w:leftChars="0" w:firstLine="640" w:firstLineChars="0"/>
        <w:rPr>
          <w:rFonts w:hint="default"/>
          <w:lang w:val="en-US" w:eastAsia="zh-CN"/>
        </w:rPr>
      </w:pPr>
      <w:bookmarkStart w:id="73" w:name="_Toc20654"/>
      <w:r>
        <w:rPr>
          <w:rFonts w:hint="eastAsia"/>
          <w:lang w:val="en-US" w:eastAsia="zh-CN"/>
        </w:rPr>
        <w:t>迁移内容</w:t>
      </w:r>
      <w:bookmarkEnd w:id="73"/>
    </w:p>
    <w:p>
      <w:pPr>
        <w:rPr>
          <w:rFonts w:hint="eastAsia"/>
          <w:lang w:val="en-US" w:eastAsia="zh-CN"/>
        </w:rPr>
      </w:pPr>
      <w:r>
        <w:rPr>
          <w:rFonts w:hint="eastAsia"/>
          <w:lang w:val="en-US" w:eastAsia="zh-CN"/>
        </w:rPr>
        <w:t>主要搬迁设备包括：图书信息大楼5楼网络中心3个42U机柜、图书信息大楼2楼1个42U机柜、第三食堂1楼监控室1个42U机柜。上述机柜内大部分设备进行搬迁。根据实际需求，为保障系统正常运行，其中少量光纤熔接盘、接入交换机仍需保留，则移位至邻居机柜。</w:t>
      </w:r>
    </w:p>
    <w:p>
      <w:pPr>
        <w:pStyle w:val="4"/>
        <w:ind w:left="-400" w:leftChars="0" w:firstLine="640" w:firstLineChars="0"/>
        <w:rPr>
          <w:rFonts w:hint="eastAsia"/>
          <w:lang w:val="en-US" w:eastAsia="zh-CN"/>
        </w:rPr>
      </w:pPr>
      <w:bookmarkStart w:id="74" w:name="_Toc13630"/>
      <w:r>
        <w:rPr>
          <w:rFonts w:hint="eastAsia"/>
          <w:lang w:val="en-US" w:eastAsia="zh-CN"/>
        </w:rPr>
        <w:t>迁移方案</w:t>
      </w:r>
      <w:bookmarkEnd w:id="74"/>
    </w:p>
    <w:p>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lang w:val="en-US" w:eastAsia="zh-CN"/>
        </w:rPr>
      </w:pPr>
      <w:r>
        <w:rPr>
          <w:rFonts w:hint="eastAsia"/>
          <w:lang w:val="en-US" w:eastAsia="zh-CN"/>
        </w:rPr>
        <w:t>机房和平台的</w:t>
      </w:r>
      <w:r>
        <w:rPr>
          <w:rFonts w:hint="default"/>
          <w:lang w:val="en-US" w:eastAsia="zh-CN"/>
        </w:rPr>
        <w:t>迁移是一个复杂而关键的过程，需要精心策划和执行</w:t>
      </w:r>
      <w:r>
        <w:rPr>
          <w:rFonts w:hint="eastAsia"/>
          <w:lang w:val="en-US" w:eastAsia="zh-CN"/>
        </w:rPr>
        <w:t>。</w:t>
      </w:r>
      <w:r>
        <w:rPr>
          <w:rFonts w:hint="default"/>
          <w:lang w:val="en-US" w:eastAsia="zh-CN"/>
        </w:rPr>
        <w:t>在</w:t>
      </w:r>
      <w:r>
        <w:rPr>
          <w:rFonts w:hint="eastAsia"/>
          <w:lang w:val="en-US" w:eastAsia="zh-CN"/>
        </w:rPr>
        <w:t>机房和平台的</w:t>
      </w:r>
      <w:r>
        <w:rPr>
          <w:rFonts w:hint="default"/>
          <w:lang w:val="en-US" w:eastAsia="zh-CN"/>
        </w:rPr>
        <w:t>迁移过程中，需要确保迁移的连续性和安全性，避免对业务和用户造成不必要的影响。因此，提前的规划、备份和测试非常重要，同时要密切与相关团队和供应商进行沟通和协调。</w:t>
      </w:r>
    </w:p>
    <w:p>
      <w:pPr>
        <w:keepNext w:val="0"/>
        <w:keepLines w:val="0"/>
        <w:pageBreakBefore w:val="0"/>
        <w:widowControl w:val="0"/>
        <w:numPr>
          <w:ilvl w:val="0"/>
          <w:numId w:val="18"/>
        </w:numPr>
        <w:kinsoku/>
        <w:wordWrap/>
        <w:overflowPunct/>
        <w:topLinePunct w:val="0"/>
        <w:autoSpaceDE/>
        <w:autoSpaceDN/>
        <w:bidi w:val="0"/>
        <w:adjustRightInd/>
        <w:snapToGrid/>
        <w:spacing w:before="157" w:beforeLines="50" w:after="157" w:afterLines="50"/>
        <w:ind w:left="0" w:leftChars="0" w:firstLine="482" w:firstLineChars="200"/>
        <w:textAlignment w:val="auto"/>
        <w:rPr>
          <w:rFonts w:hint="default"/>
          <w:b/>
          <w:bCs/>
          <w:lang w:val="en-US" w:eastAsia="zh-CN"/>
        </w:rPr>
      </w:pPr>
      <w:r>
        <w:rPr>
          <w:rFonts w:hint="default"/>
          <w:b/>
          <w:bCs/>
          <w:lang w:val="en-US" w:eastAsia="zh-CN"/>
        </w:rPr>
        <w:t>计划和准备阶段</w:t>
      </w:r>
    </w:p>
    <w:p>
      <w:pPr>
        <w:rPr>
          <w:rFonts w:hint="default"/>
          <w:lang w:val="en-US" w:eastAsia="zh-CN"/>
        </w:rPr>
      </w:pPr>
      <w:r>
        <w:rPr>
          <w:rFonts w:hint="default"/>
          <w:lang w:val="en-US" w:eastAsia="zh-CN"/>
        </w:rPr>
        <w:t>- 确定迁移的原因和目标，并制定详细的迁移计划。</w:t>
      </w:r>
    </w:p>
    <w:p>
      <w:pPr>
        <w:rPr>
          <w:rFonts w:hint="default"/>
          <w:lang w:val="en-US" w:eastAsia="zh-CN"/>
        </w:rPr>
      </w:pPr>
      <w:r>
        <w:rPr>
          <w:rFonts w:hint="default"/>
          <w:lang w:val="en-US" w:eastAsia="zh-CN"/>
        </w:rPr>
        <w:t>- 评估目标机房的可行性，包括位置、空间、电力和网络等基础设施条件。</w:t>
      </w:r>
    </w:p>
    <w:p>
      <w:pPr>
        <w:rPr>
          <w:rFonts w:hint="default"/>
          <w:lang w:val="en-US" w:eastAsia="zh-CN"/>
        </w:rPr>
      </w:pPr>
      <w:r>
        <w:rPr>
          <w:rFonts w:hint="default"/>
          <w:lang w:val="en-US" w:eastAsia="zh-CN"/>
        </w:rPr>
        <w:t>- 确定迁移时间和时间表，并通知相关人员和团队。</w:t>
      </w:r>
    </w:p>
    <w:p>
      <w:pPr>
        <w:rPr>
          <w:rFonts w:hint="default"/>
          <w:lang w:val="en-US" w:eastAsia="zh-CN"/>
        </w:rPr>
      </w:pPr>
      <w:r>
        <w:rPr>
          <w:rFonts w:hint="default"/>
          <w:lang w:val="en-US" w:eastAsia="zh-CN"/>
        </w:rPr>
        <w:t>- 进行风险评估和应急预案制定，以应对可能出现的问题和故障。</w:t>
      </w:r>
    </w:p>
    <w:p>
      <w:pPr>
        <w:keepNext w:val="0"/>
        <w:keepLines w:val="0"/>
        <w:pageBreakBefore w:val="0"/>
        <w:widowControl w:val="0"/>
        <w:numPr>
          <w:ilvl w:val="0"/>
          <w:numId w:val="18"/>
        </w:numPr>
        <w:kinsoku/>
        <w:wordWrap/>
        <w:overflowPunct/>
        <w:topLinePunct w:val="0"/>
        <w:autoSpaceDE/>
        <w:autoSpaceDN/>
        <w:bidi w:val="0"/>
        <w:adjustRightInd/>
        <w:snapToGrid/>
        <w:spacing w:before="157" w:beforeLines="50" w:after="157" w:afterLines="50"/>
        <w:ind w:left="0" w:leftChars="0" w:firstLine="482" w:firstLineChars="200"/>
        <w:textAlignment w:val="auto"/>
        <w:rPr>
          <w:rFonts w:hint="default"/>
          <w:b/>
          <w:bCs/>
          <w:lang w:val="en-US" w:eastAsia="zh-CN"/>
        </w:rPr>
      </w:pPr>
      <w:r>
        <w:rPr>
          <w:rFonts w:hint="default"/>
          <w:b/>
          <w:bCs/>
          <w:lang w:val="en-US" w:eastAsia="zh-CN"/>
        </w:rPr>
        <w:t>设备迁移阶段</w:t>
      </w:r>
    </w:p>
    <w:p>
      <w:pPr>
        <w:rPr>
          <w:rFonts w:hint="default"/>
          <w:lang w:val="en-US" w:eastAsia="zh-CN"/>
        </w:rPr>
      </w:pPr>
      <w:r>
        <w:rPr>
          <w:rFonts w:hint="default"/>
          <w:lang w:val="en-US" w:eastAsia="zh-CN"/>
        </w:rPr>
        <w:t>- 迁移前备份和记录网络设备和服务器的配置和连接信息。</w:t>
      </w:r>
    </w:p>
    <w:p>
      <w:pPr>
        <w:rPr>
          <w:rFonts w:hint="default"/>
          <w:lang w:val="en-US" w:eastAsia="zh-CN"/>
        </w:rPr>
      </w:pPr>
      <w:r>
        <w:rPr>
          <w:rFonts w:hint="default"/>
          <w:lang w:val="en-US" w:eastAsia="zh-CN"/>
        </w:rPr>
        <w:t>- 将设备逐个关闭，并拆除设备连接和电源线，并进行标记。</w:t>
      </w:r>
    </w:p>
    <w:p>
      <w:pPr>
        <w:rPr>
          <w:rFonts w:hint="default"/>
          <w:lang w:val="en-US" w:eastAsia="zh-CN"/>
        </w:rPr>
      </w:pPr>
      <w:r>
        <w:rPr>
          <w:rFonts w:hint="default"/>
          <w:lang w:val="en-US" w:eastAsia="zh-CN"/>
        </w:rPr>
        <w:t>- 将设备安全地运输到目标机房，并根据迁移计划进行重新连接和配置。</w:t>
      </w:r>
    </w:p>
    <w:p>
      <w:pPr>
        <w:rPr>
          <w:rFonts w:hint="default"/>
          <w:lang w:val="en-US" w:eastAsia="zh-CN"/>
        </w:rPr>
      </w:pPr>
      <w:r>
        <w:rPr>
          <w:rFonts w:hint="default"/>
          <w:lang w:val="en-US" w:eastAsia="zh-CN"/>
        </w:rPr>
        <w:t>- 迁移过程中，进行设备的测试和验证，确保设备正常运行。</w:t>
      </w:r>
    </w:p>
    <w:p>
      <w:pPr>
        <w:keepNext w:val="0"/>
        <w:keepLines w:val="0"/>
        <w:pageBreakBefore w:val="0"/>
        <w:widowControl w:val="0"/>
        <w:numPr>
          <w:ilvl w:val="0"/>
          <w:numId w:val="18"/>
        </w:numPr>
        <w:kinsoku/>
        <w:wordWrap/>
        <w:overflowPunct/>
        <w:topLinePunct w:val="0"/>
        <w:autoSpaceDE/>
        <w:autoSpaceDN/>
        <w:bidi w:val="0"/>
        <w:adjustRightInd/>
        <w:snapToGrid/>
        <w:spacing w:before="157" w:beforeLines="50" w:after="157" w:afterLines="50"/>
        <w:ind w:left="0" w:leftChars="0" w:firstLine="482" w:firstLineChars="200"/>
        <w:textAlignment w:val="auto"/>
        <w:rPr>
          <w:rFonts w:hint="default"/>
          <w:b/>
          <w:bCs/>
          <w:lang w:val="en-US" w:eastAsia="zh-CN"/>
        </w:rPr>
      </w:pPr>
      <w:r>
        <w:rPr>
          <w:rFonts w:hint="default"/>
          <w:b/>
          <w:bCs/>
          <w:lang w:val="en-US" w:eastAsia="zh-CN"/>
        </w:rPr>
        <w:t>网络迁移阶段</w:t>
      </w:r>
    </w:p>
    <w:p>
      <w:pPr>
        <w:rPr>
          <w:rFonts w:hint="default"/>
          <w:lang w:val="en-US" w:eastAsia="zh-CN"/>
        </w:rPr>
      </w:pPr>
      <w:r>
        <w:rPr>
          <w:rFonts w:hint="default"/>
          <w:lang w:val="en-US" w:eastAsia="zh-CN"/>
        </w:rPr>
        <w:t>- 迁移前备份和记录网络拓扑图和IP地址配置等信息。</w:t>
      </w:r>
    </w:p>
    <w:p>
      <w:pPr>
        <w:rPr>
          <w:rFonts w:hint="default"/>
          <w:lang w:val="en-US" w:eastAsia="zh-CN"/>
        </w:rPr>
      </w:pPr>
      <w:r>
        <w:rPr>
          <w:rFonts w:hint="default"/>
          <w:lang w:val="en-US" w:eastAsia="zh-CN"/>
        </w:rPr>
        <w:t>- 根据迁移计划，逐个关闭和拆除网络设备的连接，并进行标记。</w:t>
      </w:r>
    </w:p>
    <w:p>
      <w:pPr>
        <w:rPr>
          <w:rFonts w:hint="default"/>
          <w:lang w:val="en-US" w:eastAsia="zh-CN"/>
        </w:rPr>
      </w:pPr>
      <w:r>
        <w:rPr>
          <w:rFonts w:hint="default"/>
          <w:lang w:val="en-US" w:eastAsia="zh-CN"/>
        </w:rPr>
        <w:t>- 在目标机房中，根据网络拓扑图和配置信息进行设备连接和配置。</w:t>
      </w:r>
    </w:p>
    <w:p>
      <w:pPr>
        <w:rPr>
          <w:rFonts w:hint="default"/>
          <w:lang w:val="en-US" w:eastAsia="zh-CN"/>
        </w:rPr>
      </w:pPr>
      <w:r>
        <w:rPr>
          <w:rFonts w:hint="default"/>
          <w:lang w:val="en-US" w:eastAsia="zh-CN"/>
        </w:rPr>
        <w:t>- 在迁移过程中，进行网络的测试和验证，确保网络正常运行。</w:t>
      </w:r>
    </w:p>
    <w:p>
      <w:pPr>
        <w:keepNext w:val="0"/>
        <w:keepLines w:val="0"/>
        <w:pageBreakBefore w:val="0"/>
        <w:widowControl w:val="0"/>
        <w:numPr>
          <w:ilvl w:val="0"/>
          <w:numId w:val="18"/>
        </w:numPr>
        <w:kinsoku/>
        <w:wordWrap/>
        <w:overflowPunct/>
        <w:topLinePunct w:val="0"/>
        <w:autoSpaceDE/>
        <w:autoSpaceDN/>
        <w:bidi w:val="0"/>
        <w:adjustRightInd/>
        <w:snapToGrid/>
        <w:spacing w:before="157" w:beforeLines="50" w:after="157" w:afterLines="50"/>
        <w:ind w:left="0" w:leftChars="0" w:firstLine="482" w:firstLineChars="200"/>
        <w:textAlignment w:val="auto"/>
        <w:rPr>
          <w:rFonts w:hint="default"/>
          <w:b/>
          <w:bCs/>
          <w:lang w:val="en-US" w:eastAsia="zh-CN"/>
        </w:rPr>
      </w:pPr>
      <w:r>
        <w:rPr>
          <w:rFonts w:hint="default"/>
          <w:b/>
          <w:bCs/>
          <w:lang w:val="en-US" w:eastAsia="zh-CN"/>
        </w:rPr>
        <w:t>系统迁移阶段</w:t>
      </w:r>
    </w:p>
    <w:p>
      <w:pPr>
        <w:rPr>
          <w:rFonts w:hint="default"/>
          <w:lang w:val="en-US" w:eastAsia="zh-CN"/>
        </w:rPr>
      </w:pPr>
      <w:r>
        <w:rPr>
          <w:rFonts w:hint="default"/>
          <w:lang w:val="en-US" w:eastAsia="zh-CN"/>
        </w:rPr>
        <w:t>- 迁移前备份和记录系统和数据的配置和连接信息。</w:t>
      </w:r>
    </w:p>
    <w:p>
      <w:pPr>
        <w:rPr>
          <w:rFonts w:hint="default"/>
          <w:lang w:val="en-US" w:eastAsia="zh-CN"/>
        </w:rPr>
      </w:pPr>
      <w:r>
        <w:rPr>
          <w:rFonts w:hint="default"/>
          <w:lang w:val="en-US" w:eastAsia="zh-CN"/>
        </w:rPr>
        <w:t>- 迁移系统和数据到目标机房，并进行系统的重新配置和连接。</w:t>
      </w:r>
    </w:p>
    <w:p>
      <w:pPr>
        <w:rPr>
          <w:rFonts w:hint="default"/>
          <w:lang w:val="en-US" w:eastAsia="zh-CN"/>
        </w:rPr>
      </w:pPr>
      <w:r>
        <w:rPr>
          <w:rFonts w:hint="default"/>
          <w:lang w:val="en-US" w:eastAsia="zh-CN"/>
        </w:rPr>
        <w:t>- 在迁移过程中，进行系统的测试和验证，确保系统正常运行。</w:t>
      </w:r>
    </w:p>
    <w:p>
      <w:pPr>
        <w:keepNext w:val="0"/>
        <w:keepLines w:val="0"/>
        <w:pageBreakBefore w:val="0"/>
        <w:widowControl w:val="0"/>
        <w:numPr>
          <w:ilvl w:val="0"/>
          <w:numId w:val="18"/>
        </w:numPr>
        <w:kinsoku/>
        <w:wordWrap/>
        <w:overflowPunct/>
        <w:topLinePunct w:val="0"/>
        <w:autoSpaceDE/>
        <w:autoSpaceDN/>
        <w:bidi w:val="0"/>
        <w:adjustRightInd/>
        <w:snapToGrid/>
        <w:spacing w:before="157" w:beforeLines="50" w:after="157" w:afterLines="50"/>
        <w:ind w:left="0" w:leftChars="0" w:firstLine="482" w:firstLineChars="200"/>
        <w:textAlignment w:val="auto"/>
        <w:rPr>
          <w:rFonts w:hint="default"/>
          <w:b/>
          <w:bCs/>
          <w:lang w:val="en-US" w:eastAsia="zh-CN"/>
        </w:rPr>
      </w:pPr>
      <w:r>
        <w:rPr>
          <w:rFonts w:hint="default"/>
          <w:b/>
          <w:bCs/>
          <w:lang w:val="en-US" w:eastAsia="zh-CN"/>
        </w:rPr>
        <w:t>迁移完成和测试阶</w:t>
      </w:r>
    </w:p>
    <w:p>
      <w:pPr>
        <w:rPr>
          <w:rFonts w:hint="default"/>
          <w:lang w:val="en-US" w:eastAsia="zh-CN"/>
        </w:rPr>
      </w:pPr>
      <w:r>
        <w:rPr>
          <w:rFonts w:hint="default"/>
          <w:lang w:val="en-US" w:eastAsia="zh-CN"/>
        </w:rPr>
        <w:t>- 完成设备、网络和系统的迁移，并进行最终的测试和验证。</w:t>
      </w:r>
    </w:p>
    <w:p>
      <w:pPr>
        <w:rPr>
          <w:rFonts w:hint="default"/>
          <w:lang w:val="en-US" w:eastAsia="zh-CN"/>
        </w:rPr>
      </w:pPr>
      <w:r>
        <w:rPr>
          <w:rFonts w:hint="default"/>
          <w:lang w:val="en-US" w:eastAsia="zh-CN"/>
        </w:rPr>
        <w:t>- 通知用户和相关团队迁移完成，并提供必要的培训和支持。</w:t>
      </w:r>
    </w:p>
    <w:p>
      <w:pPr>
        <w:rPr>
          <w:rFonts w:hint="default"/>
          <w:lang w:val="en-US" w:eastAsia="zh-CN"/>
        </w:rPr>
      </w:pPr>
      <w:r>
        <w:rPr>
          <w:rFonts w:hint="default"/>
          <w:lang w:val="en-US" w:eastAsia="zh-CN"/>
        </w:rPr>
        <w:t>- 对迁移过程进行总结和评估，并记录经验教训。</w:t>
      </w:r>
    </w:p>
    <w:p>
      <w:pPr>
        <w:pStyle w:val="4"/>
        <w:ind w:left="-400" w:leftChars="0" w:firstLine="640" w:firstLineChars="0"/>
        <w:rPr>
          <w:rFonts w:hint="eastAsia"/>
          <w:lang w:val="en-US" w:eastAsia="zh-CN"/>
        </w:rPr>
      </w:pPr>
      <w:bookmarkStart w:id="75" w:name="_Toc4527"/>
      <w:r>
        <w:rPr>
          <w:rFonts w:hint="eastAsia"/>
          <w:lang w:val="en-US" w:eastAsia="zh-CN"/>
        </w:rPr>
        <w:t>迁移后架构</w:t>
      </w:r>
      <w:bookmarkEnd w:id="75"/>
    </w:p>
    <w:p>
      <w:pPr>
        <w:rPr>
          <w:rFonts w:hint="default"/>
          <w:lang w:val="en-US" w:eastAsia="zh-CN"/>
        </w:rPr>
      </w:pPr>
      <w:r>
        <w:rPr>
          <w:rFonts w:hint="eastAsia"/>
          <w:lang w:val="en-US" w:eastAsia="zh-CN"/>
        </w:rPr>
        <w:t>安全管理中心未配备网络基础布线。对现有学院视频专网的改造是平台迁移的基础。根据项目调研，目前学院视频专网核心设备部署在图书信息大楼五楼网络中心机房；同时，新楼视频专网也有预留有光纤线路至图书信息大楼五楼网络中心机房。因此，只要实现网络中心机房和安全管理中心的网络互通，即可达成迁移的基础条件。</w:t>
      </w:r>
    </w:p>
    <w:p>
      <w:pPr>
        <w:spacing w:beforeLines="0" w:afterLines="0"/>
        <w:jc w:val="left"/>
        <w:rPr>
          <w:rFonts w:hint="eastAsia"/>
          <w:lang w:val="en-US" w:eastAsia="zh-CN"/>
        </w:rPr>
      </w:pPr>
      <w:r>
        <w:rPr>
          <w:rFonts w:hint="eastAsia"/>
          <w:lang w:val="en-US" w:eastAsia="zh-CN"/>
        </w:rPr>
        <w:t>但调研发现：图书信息大楼入户管道基本满载，增设线缆十分困难。为满足后续建设需求，本次在新的安全管理中心和七号学生宿舍1F弱电设备间之间各配置一套24芯的光纤配线架将其线路打通，利用七号学生宿舍楼和第三食堂之间原有的光纤配线架，使新的安全管理中心和第三食堂之间的网络能够正常通讯，这样一来，</w:t>
      </w:r>
      <w:r>
        <w:rPr>
          <w:rFonts w:hint="eastAsia" w:ascii="宋体" w:hAnsi="宋体" w:cs="宋体"/>
          <w:szCs w:val="20"/>
          <w:lang w:val="en-US" w:eastAsia="zh-CN"/>
        </w:rPr>
        <w:t>新楼视频监控系统(品牌“德尓克”)便可接入到安全管理中心;另外,新楼视频监控系统在前期的建设时，有配置到图书信息大楼之间光缆和光纤配线架，本次计划从</w:t>
      </w:r>
      <w:r>
        <w:rPr>
          <w:rFonts w:hint="eastAsia"/>
          <w:lang w:val="en-US" w:eastAsia="zh-CN"/>
        </w:rPr>
        <w:t>新的安全管理中心的光纤配线架先跳纤至第三食堂的光纤配线架上，再从第三食堂的光纤配线架上跳光纤至图书信息大楼，这样一来，图书信息大楼和新的安全管理中心之间的网络也就可以正常通讯，原来学院的监控视频专网(品牌“大华”)便可以接入到安全管理中心。</w:t>
      </w:r>
    </w:p>
    <w:p>
      <w:pPr>
        <w:spacing w:beforeLines="0" w:afterLines="0"/>
        <w:jc w:val="left"/>
        <w:rPr>
          <w:rFonts w:hint="default"/>
          <w:highlight w:val="none"/>
          <w:lang w:val="en-US" w:eastAsia="zh-CN"/>
        </w:rPr>
      </w:pPr>
      <w:r>
        <w:rPr>
          <w:rFonts w:hint="eastAsia"/>
          <w:lang w:val="en-US" w:eastAsia="zh-CN"/>
        </w:rPr>
        <w:t>此外，在体育赛事期间，学院足球场区域内建有一套独立的视频监控系统(品牌:大华)用于体育赛事之用，在足球场设备间配置有专用的硬盘录像机和光纤配线架(足球场设备间~图书信息中心)；在本次改造中,在足球场设备间内配置了</w:t>
      </w:r>
      <w:r>
        <w:rPr>
          <w:rFonts w:hint="eastAsia"/>
          <w:highlight w:val="none"/>
          <w:lang w:val="en-US" w:eastAsia="zh-CN"/>
        </w:rPr>
        <w:t>一台8电1光的全千兆接入交换机，千兆单模模块以及光纤跳线，将足球场区域的独立视频监控并入学院视频专网；</w:t>
      </w:r>
    </w:p>
    <w:p>
      <w:pPr>
        <w:spacing w:beforeLines="0" w:afterLines="0"/>
        <w:jc w:val="left"/>
        <w:rPr>
          <w:rFonts w:hint="default" w:ascii="宋体" w:hAnsi="宋体" w:eastAsia="宋体"/>
          <w:color w:val="808080"/>
          <w:sz w:val="24"/>
          <w:szCs w:val="24"/>
          <w:lang w:val="en-US"/>
        </w:rPr>
      </w:pPr>
      <w:r>
        <w:rPr>
          <w:rFonts w:hint="eastAsia"/>
          <w:lang w:val="en-US" w:eastAsia="zh-CN"/>
        </w:rPr>
        <w:t>应保卫科的要求，在保卫科办公室</w:t>
      </w:r>
      <w:r>
        <w:rPr>
          <w:rFonts w:hint="eastAsia"/>
          <w:b/>
          <w:bCs/>
          <w:lang w:val="en-US" w:eastAsia="zh-CN"/>
        </w:rPr>
        <w:t>(位于图书信息大楼7F)</w:t>
      </w:r>
      <w:r>
        <w:rPr>
          <w:rFonts w:hint="eastAsia"/>
          <w:lang w:val="en-US" w:eastAsia="zh-CN"/>
        </w:rPr>
        <w:t>内需要能够查看到“</w:t>
      </w:r>
      <w:r>
        <w:rPr>
          <w:rFonts w:hint="eastAsia"/>
          <w:highlight w:val="none"/>
          <w:lang w:val="en-US" w:eastAsia="zh-CN"/>
        </w:rPr>
        <w:t>新楼视频专网”的实时画面和对其进行录像回放调用，则还需要在图书信息大楼5F机房内配置一台8电1光的全千兆接入交换机，接入交换机通过千兆单模模块和光纤跳线接入</w:t>
      </w:r>
      <w:r>
        <w:rPr>
          <w:rFonts w:hint="eastAsia"/>
          <w:highlight w:val="none"/>
          <w:lang w:val="zh-CN" w:eastAsia="zh-CN"/>
        </w:rPr>
        <w:t>(图书信息中心-第三食堂</w:t>
      </w:r>
      <w:r>
        <w:rPr>
          <w:rFonts w:hint="eastAsia"/>
          <w:highlight w:val="none"/>
          <w:lang w:val="en-US" w:eastAsia="zh-CN"/>
        </w:rPr>
        <w:t>)的</w:t>
      </w:r>
      <w:r>
        <w:rPr>
          <w:rFonts w:hint="eastAsia"/>
          <w:highlight w:val="none"/>
          <w:lang w:val="zh-CN" w:eastAsia="zh-CN"/>
        </w:rPr>
        <w:t>光纤配线架，</w:t>
      </w:r>
      <w:r>
        <w:rPr>
          <w:rFonts w:hint="eastAsia"/>
          <w:highlight w:val="none"/>
          <w:lang w:val="en-US" w:eastAsia="zh-CN"/>
        </w:rPr>
        <w:t>利用此光纤配线架接入至第三食堂的汇聚交换机;从新配置的全千兆接入交换机处再敷设一根六类网线至7F</w:t>
      </w:r>
      <w:r>
        <w:rPr>
          <w:rFonts w:hint="eastAsia"/>
          <w:lang w:val="en-US" w:eastAsia="zh-CN"/>
        </w:rPr>
        <w:t>保卫科办公室处，接入监控客户端电脑，实现其功能。</w:t>
      </w:r>
    </w:p>
    <w:p>
      <w:pPr>
        <w:rPr>
          <w:rFonts w:hint="default"/>
          <w:lang w:val="en-US" w:eastAsia="zh-CN"/>
        </w:rPr>
      </w:pPr>
    </w:p>
    <w:p>
      <w:pPr>
        <w:ind w:left="0" w:leftChars="0" w:firstLine="480" w:firstLineChars="200"/>
        <w:rPr>
          <w:rFonts w:hint="default"/>
          <w:lang w:val="en-US" w:eastAsia="zh-CN"/>
        </w:rPr>
        <w:sectPr>
          <w:pgSz w:w="11906" w:h="16838"/>
          <w:pgMar w:top="1440" w:right="1797" w:bottom="1440" w:left="1797" w:header="851" w:footer="992" w:gutter="0"/>
          <w:pgNumType w:fmt="decimal"/>
          <w:cols w:space="0" w:num="1"/>
          <w:docGrid w:type="lines" w:linePitch="312" w:charSpace="0"/>
        </w:sectPr>
      </w:pPr>
      <w:r>
        <w:rPr>
          <w:rFonts w:hint="eastAsia"/>
          <w:lang w:val="en-US" w:eastAsia="zh-CN"/>
        </w:rPr>
        <w:t>改造后网络架构如下：</w:t>
      </w: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eastAsia="宋体"/>
          <w:lang w:val="en-US" w:eastAsia="zh-CN"/>
        </w:rPr>
      </w:pPr>
      <w:r>
        <w:rPr>
          <w:rFonts w:hint="eastAsia" w:eastAsia="宋体"/>
          <w:lang w:val="en-US" w:eastAsia="zh-CN"/>
        </w:rPr>
        <w:drawing>
          <wp:inline distT="0" distB="0" distL="114300" distR="114300">
            <wp:extent cx="7914005" cy="4777105"/>
            <wp:effectExtent l="0" t="0" r="10795" b="4445"/>
            <wp:docPr id="54" name="图片 54" descr="拓扑图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拓扑图_1"/>
                    <pic:cNvPicPr>
                      <a:picLocks noChangeAspect="1"/>
                    </pic:cNvPicPr>
                  </pic:nvPicPr>
                  <pic:blipFill>
                    <a:blip r:embed="rId53"/>
                    <a:srcRect l="8011" r="6362" b="8099"/>
                    <a:stretch>
                      <a:fillRect/>
                    </a:stretch>
                  </pic:blipFill>
                  <pic:spPr>
                    <a:xfrm>
                      <a:off x="0" y="0"/>
                      <a:ext cx="7914005" cy="4777105"/>
                    </a:xfrm>
                    <a:prstGeom prst="rect">
                      <a:avLst/>
                    </a:prstGeom>
                  </pic:spPr>
                </pic:pic>
              </a:graphicData>
            </a:graphic>
          </wp:inline>
        </w:drawing>
      </w:r>
    </w:p>
    <w:p>
      <w:pPr>
        <w:ind w:left="0" w:leftChars="0" w:firstLine="0" w:firstLineChars="0"/>
        <w:jc w:val="center"/>
        <w:rPr>
          <w:rFonts w:hint="default"/>
          <w:lang w:val="en-US" w:eastAsia="zh-CN"/>
        </w:rPr>
        <w:sectPr>
          <w:pgSz w:w="16838" w:h="11906" w:orient="landscape"/>
          <w:pgMar w:top="1701" w:right="1134" w:bottom="1701" w:left="1134" w:header="851" w:footer="992" w:gutter="0"/>
          <w:pgNumType w:fmt="decimal"/>
          <w:cols w:space="0" w:num="1"/>
          <w:docGrid w:type="lines" w:linePitch="312" w:charSpace="0"/>
        </w:sectPr>
      </w:pPr>
      <w:r>
        <w:rPr>
          <w:rFonts w:hint="eastAsia" w:ascii="黑体" w:hAnsi="黑体" w:eastAsia="黑体" w:cs="黑体"/>
          <w:sz w:val="28"/>
          <w:szCs w:val="28"/>
          <w:highlight w:val="none"/>
          <w:u w:val="single"/>
          <w:lang w:val="en-US" w:eastAsia="zh-CN"/>
        </w:rPr>
        <w:t>汕职院视频监控系统迁移方案网络拓扑图</w:t>
      </w:r>
    </w:p>
    <w:p>
      <w:pPr>
        <w:pStyle w:val="3"/>
        <w:bidi w:val="0"/>
        <w:ind w:left="482" w:leftChars="0" w:hanging="425" w:firstLineChars="0"/>
        <w:rPr>
          <w:rFonts w:hint="eastAsia"/>
          <w:highlight w:val="none"/>
          <w:lang w:val="en-US" w:eastAsia="zh-CN"/>
        </w:rPr>
      </w:pPr>
      <w:bookmarkStart w:id="76" w:name="_Toc71212739"/>
      <w:bookmarkStart w:id="77" w:name="_Toc24522"/>
      <w:bookmarkStart w:id="78" w:name="_Toc10028"/>
      <w:r>
        <w:rPr>
          <w:rFonts w:hint="eastAsia"/>
          <w:highlight w:val="none"/>
          <w:lang w:val="en-US" w:eastAsia="zh-CN"/>
        </w:rPr>
        <w:t>装修</w:t>
      </w:r>
      <w:bookmarkEnd w:id="76"/>
      <w:r>
        <w:rPr>
          <w:rFonts w:hint="eastAsia"/>
          <w:highlight w:val="none"/>
          <w:lang w:val="en-US" w:eastAsia="zh-CN"/>
        </w:rPr>
        <w:t>配套</w:t>
      </w:r>
      <w:bookmarkEnd w:id="77"/>
      <w:bookmarkEnd w:id="78"/>
    </w:p>
    <w:p>
      <w:pPr>
        <w:pStyle w:val="4"/>
        <w:ind w:left="-400" w:leftChars="0" w:firstLine="640" w:firstLineChars="0"/>
        <w:rPr>
          <w:rFonts w:hint="eastAsia" w:ascii="宋体" w:hAnsi="宋体" w:cs="宋体"/>
          <w:szCs w:val="20"/>
          <w:highlight w:val="none"/>
          <w:lang w:val="en-US" w:eastAsia="zh-CN"/>
        </w:rPr>
      </w:pPr>
      <w:bookmarkStart w:id="79" w:name="_Toc42712239"/>
      <w:bookmarkStart w:id="80" w:name="_Toc19129"/>
      <w:r>
        <w:rPr>
          <w:rFonts w:hint="eastAsia" w:ascii="宋体" w:hAnsi="宋体" w:cs="宋体"/>
          <w:szCs w:val="20"/>
          <w:highlight w:val="none"/>
          <w:lang w:val="en-US" w:eastAsia="zh-CN"/>
        </w:rPr>
        <w:t>防静电地板</w:t>
      </w:r>
      <w:bookmarkEnd w:id="79"/>
      <w:bookmarkEnd w:id="80"/>
    </w:p>
    <w:p>
      <w:pPr>
        <w:pStyle w:val="5"/>
        <w:bidi w:val="0"/>
        <w:ind w:left="480" w:leftChars="0" w:firstLine="0" w:firstLineChars="0"/>
        <w:rPr>
          <w:rFonts w:hint="eastAsia"/>
          <w:lang w:val="en-US" w:eastAsia="zh-CN"/>
        </w:rPr>
      </w:pPr>
      <w:r>
        <w:rPr>
          <w:rFonts w:hint="eastAsia"/>
          <w:lang w:val="en-US" w:eastAsia="zh-CN"/>
        </w:rPr>
        <w:t>建设概述</w:t>
      </w:r>
    </w:p>
    <w:p>
      <w:pPr>
        <w:spacing w:before="120" w:after="120"/>
        <w:ind w:firstLine="480"/>
        <w:rPr>
          <w:rFonts w:ascii="宋体" w:hAnsi="宋体" w:cs="宋体"/>
          <w:highlight w:val="none"/>
        </w:rPr>
      </w:pPr>
      <w:r>
        <w:rPr>
          <w:rFonts w:hint="eastAsia" w:ascii="宋体" w:hAnsi="宋体" w:cs="宋体"/>
          <w:highlight w:val="none"/>
        </w:rPr>
        <w:t>根据《规范》：机房地面应铺设活动地板。活动地板应符合现行国家标准《计算机机房用活动地板技术条件》的要求。敷设高度应按实际需要确定。因为本次所选空调非</w:t>
      </w:r>
      <w:r>
        <w:rPr>
          <w:rFonts w:ascii="宋体" w:hAnsi="宋体" w:cs="宋体"/>
          <w:highlight w:val="none"/>
        </w:rPr>
        <w:t>下送风形式</w:t>
      </w:r>
      <w:r>
        <w:rPr>
          <w:rFonts w:hint="eastAsia" w:ascii="宋体" w:hAnsi="宋体" w:cs="宋体"/>
          <w:highlight w:val="none"/>
        </w:rPr>
        <w:t>，所以地板铺设高度为</w:t>
      </w:r>
      <w:r>
        <w:rPr>
          <w:rFonts w:hint="eastAsia" w:ascii="宋体" w:hAnsi="宋体" w:cs="宋体"/>
          <w:highlight w:val="none"/>
          <w:lang w:val="en-US" w:eastAsia="zh-CN"/>
        </w:rPr>
        <w:t>2</w:t>
      </w:r>
      <w:r>
        <w:rPr>
          <w:rFonts w:hint="eastAsia" w:ascii="宋体" w:hAnsi="宋体" w:cs="宋体"/>
          <w:highlight w:val="none"/>
        </w:rPr>
        <w:t>50mm。</w:t>
      </w:r>
    </w:p>
    <w:p>
      <w:pPr>
        <w:spacing w:before="120" w:after="120"/>
        <w:ind w:firstLine="480"/>
        <w:rPr>
          <w:rFonts w:ascii="宋体" w:hAnsi="宋体" w:cs="宋体"/>
          <w:highlight w:val="none"/>
        </w:rPr>
      </w:pPr>
      <w:r>
        <w:rPr>
          <w:rFonts w:hint="eastAsia" w:ascii="宋体" w:hAnsi="宋体" w:cs="宋体"/>
          <w:highlight w:val="none"/>
        </w:rPr>
        <w:t>1、</w:t>
      </w:r>
      <w:r>
        <w:rPr>
          <w:rFonts w:ascii="宋体" w:hAnsi="宋体" w:cs="宋体"/>
          <w:highlight w:val="none"/>
        </w:rPr>
        <w:t>机房工程的技术施工中，机房地面工程是一个很重要的组成部分。机房地板一般采用抗静电活动地板。活动地板具有可拆卸的特点，因此，所有设备的导线电缆的连接、管道的连接及检修更换都很方便。活动地板下空间</w:t>
      </w:r>
      <w:r>
        <w:rPr>
          <w:rFonts w:hint="eastAsia" w:ascii="宋体" w:hAnsi="宋体" w:cs="宋体"/>
          <w:highlight w:val="none"/>
        </w:rPr>
        <w:t>可作为走线桥架的隐蔽空间。</w:t>
      </w:r>
    </w:p>
    <w:p>
      <w:pPr>
        <w:spacing w:before="120" w:after="120"/>
        <w:ind w:firstLine="480"/>
        <w:rPr>
          <w:rFonts w:ascii="宋体" w:hAnsi="宋体" w:cs="宋体"/>
          <w:highlight w:val="none"/>
        </w:rPr>
      </w:pPr>
      <w:r>
        <w:rPr>
          <w:rFonts w:hint="eastAsia" w:ascii="宋体" w:hAnsi="宋体" w:cs="宋体"/>
          <w:highlight w:val="none"/>
        </w:rPr>
        <w:t>2、</w:t>
      </w:r>
      <w:r>
        <w:rPr>
          <w:rFonts w:ascii="宋体" w:hAnsi="宋体" w:cs="宋体"/>
          <w:highlight w:val="none"/>
        </w:rPr>
        <w:t>活动地板下的地表面需进行防潮处理（</w:t>
      </w:r>
      <w:r>
        <w:rPr>
          <w:rFonts w:hint="eastAsia" w:ascii="宋体" w:hAnsi="宋体" w:cs="宋体"/>
          <w:highlight w:val="none"/>
          <w:lang w:val="en-US" w:eastAsia="zh-CN"/>
        </w:rPr>
        <w:t>刷</w:t>
      </w:r>
      <w:r>
        <w:rPr>
          <w:rFonts w:ascii="宋体" w:hAnsi="宋体" w:cs="宋体"/>
          <w:highlight w:val="none"/>
        </w:rPr>
        <w:t>防</w:t>
      </w:r>
      <w:r>
        <w:rPr>
          <w:rFonts w:hint="eastAsia" w:ascii="宋体" w:hAnsi="宋体" w:cs="宋体"/>
          <w:highlight w:val="none"/>
          <w:lang w:val="en-US" w:eastAsia="zh-CN"/>
        </w:rPr>
        <w:t>尘防</w:t>
      </w:r>
      <w:r>
        <w:rPr>
          <w:rFonts w:ascii="宋体" w:hAnsi="宋体" w:cs="宋体"/>
          <w:highlight w:val="none"/>
        </w:rPr>
        <w:t>潮漆）。</w:t>
      </w:r>
    </w:p>
    <w:p>
      <w:pPr>
        <w:spacing w:before="120" w:after="120"/>
        <w:ind w:firstLine="480"/>
        <w:rPr>
          <w:rFonts w:hint="eastAsia" w:ascii="宋体" w:hAnsi="宋体" w:cs="宋体"/>
          <w:highlight w:val="none"/>
        </w:rPr>
      </w:pPr>
      <w:r>
        <w:rPr>
          <w:rFonts w:hint="eastAsia" w:ascii="宋体" w:hAnsi="宋体" w:cs="宋体"/>
          <w:highlight w:val="none"/>
        </w:rPr>
        <w:t>3、本项目</w:t>
      </w:r>
      <w:r>
        <w:rPr>
          <w:rFonts w:ascii="宋体" w:hAnsi="宋体" w:cs="宋体"/>
          <w:highlight w:val="none"/>
        </w:rPr>
        <w:t>建设采用</w:t>
      </w:r>
      <w:r>
        <w:rPr>
          <w:rFonts w:hint="eastAsia" w:ascii="宋体" w:hAnsi="宋体" w:cs="宋体"/>
          <w:highlight w:val="none"/>
        </w:rPr>
        <w:t>全钢防静电地板。该</w:t>
      </w:r>
      <w:r>
        <w:rPr>
          <w:rFonts w:ascii="宋体" w:hAnsi="宋体" w:cs="宋体"/>
          <w:highlight w:val="none"/>
        </w:rPr>
        <w:t>材质的静电地板具有</w:t>
      </w:r>
      <w:r>
        <w:rPr>
          <w:rFonts w:hint="eastAsia" w:ascii="宋体" w:hAnsi="宋体" w:cs="宋体"/>
          <w:highlight w:val="none"/>
        </w:rPr>
        <w:t>抗压</w:t>
      </w:r>
      <w:r>
        <w:rPr>
          <w:rFonts w:ascii="宋体" w:hAnsi="宋体" w:cs="宋体"/>
          <w:highlight w:val="none"/>
        </w:rPr>
        <w:t>、防火</w:t>
      </w:r>
      <w:r>
        <w:rPr>
          <w:rFonts w:hint="eastAsia" w:ascii="宋体" w:hAnsi="宋体" w:cs="宋体"/>
          <w:highlight w:val="none"/>
        </w:rPr>
        <w:t>、耐磨</w:t>
      </w:r>
      <w:r>
        <w:rPr>
          <w:rFonts w:ascii="宋体" w:hAnsi="宋体" w:cs="宋体"/>
          <w:highlight w:val="none"/>
        </w:rPr>
        <w:t>、</w:t>
      </w:r>
      <w:r>
        <w:rPr>
          <w:rFonts w:hint="eastAsia" w:ascii="宋体" w:hAnsi="宋体" w:cs="宋体"/>
          <w:highlight w:val="none"/>
        </w:rPr>
        <w:t>防污</w:t>
      </w:r>
      <w:r>
        <w:rPr>
          <w:rFonts w:ascii="宋体" w:hAnsi="宋体" w:cs="宋体"/>
          <w:highlight w:val="none"/>
        </w:rPr>
        <w:t>等优点</w:t>
      </w:r>
      <w:r>
        <w:rPr>
          <w:rFonts w:hint="eastAsia" w:ascii="宋体" w:hAnsi="宋体" w:cs="宋体"/>
          <w:highlight w:val="none"/>
        </w:rPr>
        <w:t>，</w:t>
      </w:r>
      <w:r>
        <w:rPr>
          <w:rFonts w:ascii="宋体" w:hAnsi="宋体" w:cs="宋体"/>
          <w:highlight w:val="none"/>
        </w:rPr>
        <w:t>静电地板</w:t>
      </w:r>
      <w:r>
        <w:rPr>
          <w:rFonts w:hint="eastAsia" w:ascii="宋体" w:hAnsi="宋体" w:cs="宋体"/>
          <w:highlight w:val="none"/>
        </w:rPr>
        <w:t>的</w:t>
      </w:r>
      <w:r>
        <w:rPr>
          <w:rFonts w:ascii="宋体" w:hAnsi="宋体" w:cs="宋体"/>
          <w:highlight w:val="none"/>
        </w:rPr>
        <w:t>铺设一般由地板、横梁、支座组成。横梁和自身高度可调的支座用螺钉连结成稳固的下部支承系统，地板镶嵌入横梁围成的方格内</w:t>
      </w:r>
      <w:r>
        <w:rPr>
          <w:rFonts w:hint="eastAsia" w:ascii="宋体" w:hAnsi="宋体" w:cs="宋体"/>
          <w:highlight w:val="none"/>
        </w:rPr>
        <w:t>。</w:t>
      </w:r>
    </w:p>
    <w:p>
      <w:pPr>
        <w:keepNext w:val="0"/>
        <w:keepLines w:val="0"/>
        <w:pageBreakBefore w:val="0"/>
        <w:widowControl w:val="0"/>
        <w:kinsoku/>
        <w:wordWrap/>
        <w:overflowPunct/>
        <w:topLinePunct w:val="0"/>
        <w:autoSpaceDE/>
        <w:autoSpaceDN/>
        <w:bidi w:val="0"/>
        <w:adjustRightInd/>
        <w:snapToGrid/>
        <w:spacing w:before="156" w:beforeLines="50" w:after="156" w:afterLines="50" w:line="360" w:lineRule="auto"/>
        <w:ind w:firstLine="0" w:firstLineChars="0"/>
        <w:jc w:val="center"/>
        <w:textAlignment w:val="auto"/>
        <w:rPr>
          <w:rFonts w:ascii="宋体" w:hAnsi="宋体" w:eastAsia="宋体" w:cs="宋体"/>
        </w:rPr>
      </w:pPr>
      <w:r>
        <w:rPr>
          <w:rFonts w:ascii="宋体" w:hAnsi="宋体" w:cs="宋体"/>
          <w:szCs w:val="21"/>
        </w:rPr>
        <w:fldChar w:fldCharType="begin"/>
      </w:r>
      <w:r>
        <w:rPr>
          <w:rFonts w:ascii="宋体" w:hAnsi="宋体" w:cs="宋体"/>
          <w:szCs w:val="21"/>
        </w:rPr>
        <w:instrText xml:space="preserve"> INCLUDEPICTURE  "I:\\..\\..\\admin\\AppData\\Roaming\\Tencent\\Users\\279509028\\QQ\\WinTemp\\RichOle\\84~XF8TB83R`IKHJ30D)T(D.jpg" \* MERGEFORMATINET </w:instrText>
      </w:r>
      <w:r>
        <w:rPr>
          <w:rFonts w:ascii="宋体" w:hAnsi="宋体" w:cs="宋体"/>
          <w:szCs w:val="21"/>
        </w:rPr>
        <w:fldChar w:fldCharType="separate"/>
      </w:r>
      <w:r>
        <w:rPr>
          <w:rFonts w:ascii="宋体" w:hAnsi="宋体" w:cs="宋体"/>
          <w:szCs w:val="21"/>
        </w:rPr>
        <w:fldChar w:fldCharType="begin"/>
      </w:r>
      <w:r>
        <w:rPr>
          <w:rFonts w:ascii="宋体" w:hAnsi="宋体" w:cs="宋体"/>
          <w:szCs w:val="21"/>
        </w:rPr>
        <w:instrText xml:space="preserve"> INCLUDEPICTURE  "I:\\..\\..\\admin\\AppData\\Roaming\\Tencent\\Users\\279509028\\QQ\\WinTemp\\RichOle\\84~XF8TB83R`IKHJ30D)T(D.jpg" \* MERGEFORMATINET </w:instrText>
      </w:r>
      <w:r>
        <w:rPr>
          <w:rFonts w:ascii="宋体" w:hAnsi="宋体" w:cs="宋体"/>
          <w:szCs w:val="21"/>
        </w:rPr>
        <w:fldChar w:fldCharType="separate"/>
      </w:r>
      <w:r>
        <w:rPr>
          <w:rFonts w:ascii="宋体" w:hAnsi="宋体" w:cs="宋体"/>
          <w:szCs w:val="21"/>
        </w:rPr>
        <w:fldChar w:fldCharType="begin"/>
      </w:r>
      <w:r>
        <w:rPr>
          <w:rFonts w:ascii="宋体" w:hAnsi="宋体" w:cs="宋体"/>
          <w:szCs w:val="21"/>
        </w:rPr>
        <w:instrText xml:space="preserve"> INCLUDEPICTURE  "I:\\..\\..\\admin\\AppData\\Roaming\\Tencent\\Users\\279509028\\QQ\\WinTemp\\RichOle\\84~XF8TB83R`IKHJ30D)T(D.jpg" \* MERGEFORMATINET </w:instrText>
      </w:r>
      <w:r>
        <w:rPr>
          <w:rFonts w:ascii="宋体" w:hAnsi="宋体" w:cs="宋体"/>
          <w:szCs w:val="21"/>
        </w:rPr>
        <w:fldChar w:fldCharType="separate"/>
      </w:r>
      <w:r>
        <w:rPr>
          <w:rFonts w:ascii="宋体" w:hAnsi="宋体" w:cs="宋体"/>
          <w:szCs w:val="21"/>
        </w:rPr>
        <w:fldChar w:fldCharType="begin"/>
      </w:r>
      <w:r>
        <w:rPr>
          <w:rFonts w:ascii="宋体" w:hAnsi="宋体" w:cs="宋体"/>
          <w:szCs w:val="21"/>
        </w:rPr>
        <w:instrText xml:space="preserve"> INCLUDEPICTURE  "I:\\..\\..\\admin\\AppData\\Roaming\\Tencent\\Users\\279509028\\QQ\\WinTemp\\RichOle\\84~XF8TB83R`IKHJ30D)T(D.jpg" \* MERGEFORMATINET </w:instrText>
      </w:r>
      <w:r>
        <w:rPr>
          <w:rFonts w:ascii="宋体" w:hAnsi="宋体" w:cs="宋体"/>
          <w:szCs w:val="21"/>
        </w:rPr>
        <w:fldChar w:fldCharType="separate"/>
      </w:r>
      <w:r>
        <w:rPr>
          <w:rFonts w:ascii="宋体" w:hAnsi="宋体" w:cs="宋体"/>
          <w:szCs w:val="21"/>
        </w:rPr>
        <w:fldChar w:fldCharType="begin"/>
      </w:r>
      <w:r>
        <w:rPr>
          <w:rFonts w:ascii="宋体" w:hAnsi="宋体" w:cs="宋体"/>
          <w:szCs w:val="21"/>
        </w:rPr>
        <w:instrText xml:space="preserve"> INCLUDEPICTURE  "I:\\..\\..\\admin\\AppData\\Roaming\\Tencent\\Users\\279509028\\QQ\\WinTemp\\RichOle\\84~XF8TB83R`IKHJ30D)T(D.jpg" \* MERGEFORMATINET </w:instrText>
      </w:r>
      <w:r>
        <w:rPr>
          <w:rFonts w:ascii="宋体" w:hAnsi="宋体" w:cs="宋体"/>
          <w:szCs w:val="21"/>
        </w:rPr>
        <w:fldChar w:fldCharType="separate"/>
      </w:r>
      <w:r>
        <w:rPr>
          <w:rFonts w:ascii="宋体" w:hAnsi="宋体" w:cs="宋体"/>
          <w:szCs w:val="21"/>
        </w:rPr>
        <w:fldChar w:fldCharType="begin"/>
      </w:r>
      <w:r>
        <w:rPr>
          <w:rFonts w:ascii="宋体" w:hAnsi="宋体" w:cs="宋体"/>
          <w:szCs w:val="21"/>
        </w:rPr>
        <w:instrText xml:space="preserve"> INCLUDEPICTURE  "I:\\..\\..\\admin\\AppData\\Roaming\\Tencent\\Users\\279509028\\QQ\\WinTemp\\RichOle\\84~XF8TB83R`IKHJ30D)T(D.jpg" \* MERGEFORMATINET </w:instrText>
      </w:r>
      <w:r>
        <w:rPr>
          <w:rFonts w:ascii="宋体" w:hAnsi="宋体" w:cs="宋体"/>
          <w:szCs w:val="21"/>
        </w:rPr>
        <w:fldChar w:fldCharType="separate"/>
      </w:r>
      <w:r>
        <w:rPr>
          <w:rFonts w:ascii="宋体" w:hAnsi="宋体" w:cs="宋体"/>
          <w:szCs w:val="21"/>
        </w:rPr>
        <w:fldChar w:fldCharType="begin"/>
      </w:r>
      <w:r>
        <w:rPr>
          <w:rFonts w:ascii="宋体" w:hAnsi="宋体" w:cs="宋体"/>
          <w:szCs w:val="21"/>
        </w:rPr>
        <w:instrText xml:space="preserve"> INCLUDEPICTURE  "I:\\..\\..\\admin\\AppData\\Roaming\\Tencent\\Users\\279509028\\QQ\\WinTemp\\RichOle\\84~XF8TB83R`IKHJ30D)T(D.jpg" \* MERGEFORMATINET </w:instrText>
      </w:r>
      <w:r>
        <w:rPr>
          <w:rFonts w:ascii="宋体" w:hAnsi="宋体" w:cs="宋体"/>
          <w:szCs w:val="21"/>
        </w:rPr>
        <w:fldChar w:fldCharType="separate"/>
      </w:r>
      <w:r>
        <w:rPr>
          <w:rFonts w:ascii="宋体" w:hAnsi="宋体" w:cs="宋体"/>
          <w:szCs w:val="21"/>
        </w:rPr>
        <w:fldChar w:fldCharType="begin"/>
      </w:r>
      <w:r>
        <w:rPr>
          <w:rFonts w:ascii="宋体" w:hAnsi="宋体" w:cs="宋体"/>
          <w:szCs w:val="21"/>
        </w:rPr>
        <w:instrText xml:space="preserve"> INCLUDEPICTURE  "I:\\..\\..\\admin\\AppData\\Roaming\\Tencent\\Users\\279509028\\QQ\\WinTemp\\RichOle\\84~XF8TB83R`IKHJ30D)T(D.jpg" \* MERGEFORMATINET </w:instrText>
      </w:r>
      <w:r>
        <w:rPr>
          <w:rFonts w:ascii="宋体" w:hAnsi="宋体" w:cs="宋体"/>
          <w:szCs w:val="21"/>
        </w:rPr>
        <w:fldChar w:fldCharType="separate"/>
      </w:r>
      <w:r>
        <w:rPr>
          <w:rFonts w:ascii="宋体" w:hAnsi="宋体" w:cs="宋体"/>
          <w:szCs w:val="21"/>
        </w:rPr>
        <w:fldChar w:fldCharType="begin"/>
      </w:r>
      <w:r>
        <w:rPr>
          <w:rFonts w:ascii="宋体" w:hAnsi="宋体" w:cs="宋体"/>
          <w:szCs w:val="21"/>
        </w:rPr>
        <w:instrText xml:space="preserve"> INCLUDEPICTURE  "I:\\..\\..\\admin\\AppData\\Roaming\\Tencent\\Users\\279509028\\QQ\\WinTemp\\RichOle\\84~XF8TB83R`IKHJ30D)T(D.jpg" \* MERGEFORMATINET </w:instrText>
      </w:r>
      <w:r>
        <w:rPr>
          <w:rFonts w:ascii="宋体" w:hAnsi="宋体" w:cs="宋体"/>
          <w:szCs w:val="21"/>
        </w:rPr>
        <w:fldChar w:fldCharType="separate"/>
      </w:r>
      <w:r>
        <w:rPr>
          <w:rFonts w:ascii="宋体" w:hAnsi="宋体" w:cs="宋体"/>
          <w:szCs w:val="21"/>
        </w:rPr>
        <w:fldChar w:fldCharType="begin"/>
      </w:r>
      <w:r>
        <w:rPr>
          <w:rFonts w:ascii="宋体" w:hAnsi="宋体" w:cs="宋体"/>
          <w:szCs w:val="21"/>
        </w:rPr>
        <w:instrText xml:space="preserve"> INCLUDEPICTURE  "I:\\..\\..\\admin\\AppData\\Roaming\\Tencent\\Users\\279509028\\QQ\\WinTemp\\RichOle\\84~XF8TB83R`IKHJ30D)T(D.jpg" \* MERGEFORMATINET </w:instrText>
      </w:r>
      <w:r>
        <w:rPr>
          <w:rFonts w:ascii="宋体" w:hAnsi="宋体" w:cs="宋体"/>
          <w:szCs w:val="21"/>
        </w:rPr>
        <w:fldChar w:fldCharType="separate"/>
      </w:r>
      <w:r>
        <w:rPr>
          <w:rFonts w:ascii="宋体" w:hAnsi="宋体" w:cs="宋体"/>
          <w:szCs w:val="21"/>
        </w:rPr>
        <w:fldChar w:fldCharType="begin"/>
      </w:r>
      <w:r>
        <w:rPr>
          <w:rFonts w:ascii="宋体" w:hAnsi="宋体" w:cs="宋体"/>
          <w:szCs w:val="21"/>
        </w:rPr>
        <w:instrText xml:space="preserve"> INCLUDEPICTURE  "I:\\..\\..\\admin\\AppData\\Roaming\\Tencent\\Users\\279509028\\QQ\\WinTemp\\RichOle\\84~XF8TB83R`IKHJ30D)T(D.jpg" \* MERGEFORMATINET </w:instrText>
      </w:r>
      <w:r>
        <w:rPr>
          <w:rFonts w:ascii="宋体" w:hAnsi="宋体" w:cs="宋体"/>
          <w:szCs w:val="21"/>
        </w:rPr>
        <w:fldChar w:fldCharType="separate"/>
      </w:r>
      <w:r>
        <w:rPr>
          <w:rFonts w:ascii="宋体" w:hAnsi="宋体" w:cs="宋体"/>
          <w:szCs w:val="21"/>
        </w:rPr>
        <w:fldChar w:fldCharType="begin"/>
      </w:r>
      <w:r>
        <w:rPr>
          <w:rFonts w:ascii="宋体" w:hAnsi="宋体" w:cs="宋体"/>
          <w:szCs w:val="21"/>
        </w:rPr>
        <w:instrText xml:space="preserve"> INCLUDEPICTURE  "I:\\..\\..\\admin\\AppData\\Roaming\\Tencent\\Users\\279509028\\QQ\\WinTemp\\RichOle\\84~XF8TB83R`IKHJ30D)T(D.jpg" \* MERGEFORMATINET </w:instrText>
      </w:r>
      <w:r>
        <w:rPr>
          <w:rFonts w:ascii="宋体" w:hAnsi="宋体" w:cs="宋体"/>
          <w:szCs w:val="21"/>
        </w:rPr>
        <w:fldChar w:fldCharType="separate"/>
      </w:r>
      <w:r>
        <w:rPr>
          <w:rFonts w:ascii="宋体" w:hAnsi="宋体" w:cs="宋体"/>
          <w:szCs w:val="21"/>
        </w:rPr>
        <w:fldChar w:fldCharType="begin"/>
      </w:r>
      <w:r>
        <w:rPr>
          <w:rFonts w:ascii="宋体" w:hAnsi="宋体" w:cs="宋体"/>
          <w:szCs w:val="21"/>
        </w:rPr>
        <w:instrText xml:space="preserve"> INCLUDEPICTURE  "I:\\..\\..\\admin\\AppData\\Roaming\\Tencent\\Users\\279509028\\QQ\\WinTemp\\RichOle\\84~XF8TB83R`IKHJ30D)T(D.jpg" \* MERGEFORMATINET </w:instrText>
      </w:r>
      <w:r>
        <w:rPr>
          <w:rFonts w:ascii="宋体" w:hAnsi="宋体" w:cs="宋体"/>
          <w:szCs w:val="21"/>
        </w:rPr>
        <w:fldChar w:fldCharType="separate"/>
      </w:r>
      <w:r>
        <w:rPr>
          <w:rFonts w:ascii="宋体" w:hAnsi="宋体" w:cs="宋体"/>
          <w:szCs w:val="21"/>
        </w:rPr>
        <w:fldChar w:fldCharType="begin"/>
      </w:r>
      <w:r>
        <w:rPr>
          <w:rFonts w:ascii="宋体" w:hAnsi="宋体" w:cs="宋体"/>
          <w:szCs w:val="21"/>
        </w:rPr>
        <w:instrText xml:space="preserve"> INCLUDEPICTURE  "I:\\..\\..\\admin\\AppData\\Roaming\\Tencent\\Users\\279509028\\QQ\\WinTemp\\RichOle\\84~XF8TB83R`IKHJ30D)T(D.jpg" \* MERGEFORMATINET </w:instrText>
      </w:r>
      <w:r>
        <w:rPr>
          <w:rFonts w:ascii="宋体" w:hAnsi="宋体" w:cs="宋体"/>
          <w:szCs w:val="21"/>
        </w:rPr>
        <w:fldChar w:fldCharType="separate"/>
      </w:r>
      <w:r>
        <w:rPr>
          <w:rFonts w:ascii="宋体" w:hAnsi="宋体" w:cs="宋体"/>
          <w:szCs w:val="21"/>
        </w:rPr>
        <w:fldChar w:fldCharType="begin"/>
      </w:r>
      <w:r>
        <w:rPr>
          <w:rFonts w:ascii="宋体" w:hAnsi="宋体" w:cs="宋体"/>
          <w:szCs w:val="21"/>
        </w:rPr>
        <w:instrText xml:space="preserve"> INCLUDEPICTURE  "I:\\..\\..\\admin\\AppData\\Roaming\\Tencent\\Users\\279509028\\QQ\\WinTemp\\RichOle\\84~XF8TB83R`IKHJ30D)T(D.jpg" \* MERGEFORMATINET </w:instrText>
      </w:r>
      <w:r>
        <w:rPr>
          <w:rFonts w:ascii="宋体" w:hAnsi="宋体" w:cs="宋体"/>
          <w:szCs w:val="21"/>
        </w:rPr>
        <w:fldChar w:fldCharType="separate"/>
      </w:r>
      <w:r>
        <w:rPr>
          <w:rFonts w:ascii="宋体" w:hAnsi="宋体" w:cs="宋体"/>
          <w:szCs w:val="21"/>
        </w:rPr>
        <w:fldChar w:fldCharType="begin"/>
      </w:r>
      <w:r>
        <w:rPr>
          <w:rFonts w:ascii="宋体" w:hAnsi="宋体" w:cs="宋体"/>
          <w:szCs w:val="21"/>
        </w:rPr>
        <w:instrText xml:space="preserve"> INCLUDEPICTURE  "C:\\..\\admin\\AppData\\Roaming\\Tencent\\Users\\279509028\\QQ\\WinTemp\\RichOle\\84~XF8TB83R`IKHJ30D)T(D.jpg" \* MERGEFORMATINET </w:instrText>
      </w:r>
      <w:r>
        <w:rPr>
          <w:rFonts w:ascii="宋体" w:hAnsi="宋体" w:cs="宋体"/>
          <w:szCs w:val="21"/>
        </w:rPr>
        <w:fldChar w:fldCharType="separate"/>
      </w:r>
      <w:r>
        <w:rPr>
          <w:rFonts w:ascii="宋体" w:hAnsi="宋体" w:cs="宋体"/>
          <w:szCs w:val="21"/>
        </w:rPr>
        <w:fldChar w:fldCharType="begin"/>
      </w:r>
      <w:r>
        <w:rPr>
          <w:rFonts w:ascii="宋体" w:hAnsi="宋体" w:cs="宋体"/>
          <w:szCs w:val="21"/>
        </w:rPr>
        <w:instrText xml:space="preserve"> INCLUDEPICTURE  "C:\\..\\admin\\AppData\\Roaming\\Tencent\\Users\\279509028\\QQ\\WinTemp\\RichOle\\84~XF8TB83R`IKHJ30D)T(D.jpg" \* MERGEFORMATINET </w:instrText>
      </w:r>
      <w:r>
        <w:rPr>
          <w:rFonts w:ascii="宋体" w:hAnsi="宋体" w:cs="宋体"/>
          <w:szCs w:val="21"/>
        </w:rPr>
        <w:fldChar w:fldCharType="separate"/>
      </w:r>
      <w:r>
        <w:rPr>
          <w:rFonts w:ascii="宋体" w:hAnsi="宋体" w:cs="宋体"/>
          <w:szCs w:val="21"/>
        </w:rPr>
        <w:fldChar w:fldCharType="begin"/>
      </w:r>
      <w:r>
        <w:rPr>
          <w:rFonts w:ascii="宋体" w:hAnsi="宋体" w:cs="宋体"/>
          <w:szCs w:val="21"/>
        </w:rPr>
        <w:instrText xml:space="preserve"> INCLUDEPICTURE  "C:\\..\\admin\\AppData\\Roaming\\Tencent\\Users\\279509028\\QQ\\WinTemp\\RichOle\\84~XF8TB83R`IKHJ30D)T(D.jpg" \* MERGEFORMATINET </w:instrText>
      </w:r>
      <w:r>
        <w:rPr>
          <w:rFonts w:ascii="宋体" w:hAnsi="宋体" w:cs="宋体"/>
          <w:szCs w:val="21"/>
        </w:rPr>
        <w:fldChar w:fldCharType="separate"/>
      </w:r>
      <w:r>
        <w:rPr>
          <w:rFonts w:ascii="宋体" w:hAnsi="宋体" w:cs="宋体"/>
          <w:szCs w:val="21"/>
        </w:rPr>
        <w:fldChar w:fldCharType="begin"/>
      </w:r>
      <w:r>
        <w:rPr>
          <w:rFonts w:ascii="宋体" w:hAnsi="宋体" w:cs="宋体"/>
          <w:szCs w:val="21"/>
        </w:rPr>
        <w:instrText xml:space="preserve"> INCLUDEPICTURE  "C:\\..\\admin\\AppData\\Roaming\\Tencent\\Users\\279509028\\QQ\\WinTemp\\RichOle\\84~XF8TB83R`IKHJ30D)T(D.jpg" \* MERGEFORMATINET </w:instrText>
      </w:r>
      <w:r>
        <w:rPr>
          <w:rFonts w:ascii="宋体" w:hAnsi="宋体" w:cs="宋体"/>
          <w:szCs w:val="21"/>
        </w:rPr>
        <w:fldChar w:fldCharType="separate"/>
      </w:r>
      <w:r>
        <w:rPr>
          <w:rFonts w:ascii="宋体" w:hAnsi="宋体" w:cs="宋体"/>
          <w:szCs w:val="21"/>
        </w:rPr>
        <w:fldChar w:fldCharType="begin"/>
      </w:r>
      <w:r>
        <w:rPr>
          <w:rFonts w:ascii="宋体" w:hAnsi="宋体" w:cs="宋体"/>
          <w:szCs w:val="21"/>
        </w:rPr>
        <w:instrText xml:space="preserve"> INCLUDEPICTURE  "I:\\..\\admin\\AppData\\Roaming\\Tencent\\Users\\279509028\\QQ\\WinTemp\\RichOle\\84~XF8TB83R`IKHJ30D)T(D.jpg" \* MERGEFORMATINET </w:instrText>
      </w:r>
      <w:r>
        <w:rPr>
          <w:rFonts w:ascii="宋体" w:hAnsi="宋体" w:cs="宋体"/>
          <w:szCs w:val="21"/>
        </w:rPr>
        <w:fldChar w:fldCharType="separate"/>
      </w:r>
      <w:r>
        <w:rPr>
          <w:rFonts w:ascii="宋体" w:hAnsi="宋体" w:cs="宋体"/>
          <w:szCs w:val="21"/>
        </w:rPr>
        <w:fldChar w:fldCharType="begin"/>
      </w:r>
      <w:r>
        <w:rPr>
          <w:rFonts w:ascii="宋体" w:hAnsi="宋体" w:cs="宋体"/>
          <w:szCs w:val="21"/>
        </w:rPr>
        <w:instrText xml:space="preserve"> INCLUDEPICTURE  "I:\\..\\..\\admin\\AppData\\Roaming\\Tencent\\Users\\279509028\\QQ\\WinTemp\\RichOle\\84~XF8TB83R`IKHJ30D)T(D.jpg" \* MERGEFORMATINET </w:instrText>
      </w:r>
      <w:r>
        <w:rPr>
          <w:rFonts w:ascii="宋体" w:hAnsi="宋体" w:cs="宋体"/>
          <w:szCs w:val="21"/>
        </w:rPr>
        <w:fldChar w:fldCharType="separate"/>
      </w:r>
      <w:r>
        <w:rPr>
          <w:rFonts w:ascii="宋体" w:hAnsi="宋体" w:cs="宋体"/>
          <w:szCs w:val="21"/>
        </w:rPr>
        <w:drawing>
          <wp:inline distT="0" distB="0" distL="114300" distR="114300">
            <wp:extent cx="1638300" cy="1728470"/>
            <wp:effectExtent l="0" t="0" r="0" b="5080"/>
            <wp:docPr id="3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8"/>
                    <pic:cNvPicPr>
                      <a:picLocks noChangeAspect="1"/>
                    </pic:cNvPicPr>
                  </pic:nvPicPr>
                  <pic:blipFill>
                    <a:blip r:embed="rId54" r:link="rId55"/>
                    <a:stretch>
                      <a:fillRect/>
                    </a:stretch>
                  </pic:blipFill>
                  <pic:spPr>
                    <a:xfrm>
                      <a:off x="0" y="0"/>
                      <a:ext cx="1638300" cy="1728470"/>
                    </a:xfrm>
                    <a:prstGeom prst="rect">
                      <a:avLst/>
                    </a:prstGeom>
                    <a:noFill/>
                    <a:ln>
                      <a:noFill/>
                    </a:ln>
                  </pic:spPr>
                </pic:pic>
              </a:graphicData>
            </a:graphic>
          </wp:inline>
        </w:drawing>
      </w:r>
      <w:r>
        <w:rPr>
          <w:rFonts w:ascii="宋体" w:hAnsi="宋体" w:cs="宋体"/>
          <w:szCs w:val="21"/>
        </w:rPr>
        <w:fldChar w:fldCharType="end"/>
      </w:r>
      <w:r>
        <w:rPr>
          <w:rFonts w:ascii="宋体" w:hAnsi="宋体" w:cs="宋体"/>
          <w:szCs w:val="21"/>
        </w:rPr>
        <w:fldChar w:fldCharType="end"/>
      </w:r>
      <w:r>
        <w:rPr>
          <w:rFonts w:ascii="宋体" w:hAnsi="宋体" w:cs="宋体"/>
          <w:szCs w:val="21"/>
        </w:rPr>
        <w:fldChar w:fldCharType="end"/>
      </w:r>
      <w:r>
        <w:rPr>
          <w:rFonts w:ascii="宋体" w:hAnsi="宋体" w:cs="宋体"/>
          <w:szCs w:val="21"/>
        </w:rPr>
        <w:fldChar w:fldCharType="end"/>
      </w:r>
      <w:r>
        <w:rPr>
          <w:rFonts w:ascii="宋体" w:hAnsi="宋体" w:cs="宋体"/>
          <w:szCs w:val="21"/>
        </w:rPr>
        <w:fldChar w:fldCharType="end"/>
      </w:r>
      <w:r>
        <w:rPr>
          <w:rFonts w:ascii="宋体" w:hAnsi="宋体" w:cs="宋体"/>
          <w:szCs w:val="21"/>
        </w:rPr>
        <w:fldChar w:fldCharType="end"/>
      </w:r>
      <w:r>
        <w:rPr>
          <w:rFonts w:ascii="宋体" w:hAnsi="宋体" w:cs="宋体"/>
          <w:szCs w:val="21"/>
        </w:rPr>
        <w:fldChar w:fldCharType="end"/>
      </w:r>
      <w:r>
        <w:rPr>
          <w:rFonts w:ascii="宋体" w:hAnsi="宋体" w:cs="宋体"/>
          <w:szCs w:val="21"/>
        </w:rPr>
        <w:fldChar w:fldCharType="end"/>
      </w:r>
      <w:r>
        <w:rPr>
          <w:rFonts w:ascii="宋体" w:hAnsi="宋体" w:cs="宋体"/>
          <w:szCs w:val="21"/>
        </w:rPr>
        <w:fldChar w:fldCharType="end"/>
      </w:r>
      <w:r>
        <w:rPr>
          <w:rFonts w:ascii="宋体" w:hAnsi="宋体" w:cs="宋体"/>
          <w:szCs w:val="21"/>
        </w:rPr>
        <w:fldChar w:fldCharType="end"/>
      </w:r>
      <w:r>
        <w:rPr>
          <w:rFonts w:ascii="宋体" w:hAnsi="宋体" w:cs="宋体"/>
          <w:szCs w:val="21"/>
        </w:rPr>
        <w:fldChar w:fldCharType="end"/>
      </w:r>
      <w:r>
        <w:rPr>
          <w:rFonts w:ascii="宋体" w:hAnsi="宋体" w:cs="宋体"/>
          <w:szCs w:val="21"/>
        </w:rPr>
        <w:fldChar w:fldCharType="end"/>
      </w:r>
      <w:r>
        <w:rPr>
          <w:rFonts w:ascii="宋体" w:hAnsi="宋体" w:cs="宋体"/>
          <w:szCs w:val="21"/>
        </w:rPr>
        <w:fldChar w:fldCharType="end"/>
      </w:r>
      <w:r>
        <w:rPr>
          <w:rFonts w:ascii="宋体" w:hAnsi="宋体" w:cs="宋体"/>
          <w:szCs w:val="21"/>
        </w:rPr>
        <w:fldChar w:fldCharType="end"/>
      </w:r>
      <w:r>
        <w:rPr>
          <w:rFonts w:ascii="宋体" w:hAnsi="宋体" w:cs="宋体"/>
          <w:szCs w:val="21"/>
        </w:rPr>
        <w:fldChar w:fldCharType="end"/>
      </w:r>
      <w:r>
        <w:rPr>
          <w:rFonts w:ascii="宋体" w:hAnsi="宋体" w:cs="宋体"/>
          <w:szCs w:val="21"/>
        </w:rPr>
        <w:fldChar w:fldCharType="end"/>
      </w:r>
      <w:r>
        <w:rPr>
          <w:rFonts w:ascii="宋体" w:hAnsi="宋体" w:cs="宋体"/>
          <w:szCs w:val="21"/>
        </w:rPr>
        <w:fldChar w:fldCharType="end"/>
      </w:r>
      <w:r>
        <w:rPr>
          <w:rFonts w:ascii="宋体" w:hAnsi="宋体" w:cs="宋体"/>
          <w:szCs w:val="21"/>
        </w:rPr>
        <w:fldChar w:fldCharType="end"/>
      </w:r>
      <w:r>
        <w:rPr>
          <w:rFonts w:ascii="宋体" w:hAnsi="宋体" w:cs="宋体"/>
          <w:szCs w:val="21"/>
        </w:rPr>
        <w:fldChar w:fldCharType="end"/>
      </w:r>
      <w:r>
        <w:rPr>
          <w:rFonts w:ascii="宋体" w:hAnsi="宋体" w:cs="宋体"/>
          <w:szCs w:val="21"/>
        </w:rPr>
        <w:fldChar w:fldCharType="end"/>
      </w:r>
      <w:r>
        <w:rPr>
          <w:rFonts w:ascii="宋体" w:hAnsi="宋体" w:cs="宋体"/>
          <w:szCs w:val="21"/>
        </w:rPr>
        <w:fldChar w:fldCharType="end"/>
      </w:r>
      <w:r>
        <w:rPr>
          <w:szCs w:val="21"/>
          <w:lang w:val="en-US" w:bidi="ar-SA"/>
        </w:rPr>
        <w:drawing>
          <wp:inline distT="0" distB="0" distL="0" distR="0">
            <wp:extent cx="3004820" cy="1689735"/>
            <wp:effectExtent l="0" t="0" r="5080" b="5715"/>
            <wp:docPr id="93" name="图片 93" descr="200712184048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2007121840483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3004820" cy="1689735"/>
                    </a:xfrm>
                    <a:prstGeom prst="rect">
                      <a:avLst/>
                    </a:prstGeom>
                    <a:noFill/>
                    <a:ln>
                      <a:noFill/>
                    </a:ln>
                  </pic:spPr>
                </pic:pic>
              </a:graphicData>
            </a:graphic>
          </wp:inline>
        </w:drawing>
      </w:r>
    </w:p>
    <w:p>
      <w:pPr>
        <w:pStyle w:val="5"/>
        <w:bidi w:val="0"/>
        <w:ind w:left="480" w:leftChars="0" w:firstLine="0" w:firstLineChars="0"/>
        <w:rPr>
          <w:rFonts w:hint="default"/>
          <w:lang w:val="en-US" w:eastAsia="zh-CN"/>
        </w:rPr>
      </w:pPr>
      <w:r>
        <w:rPr>
          <w:rFonts w:hint="eastAsia"/>
          <w:lang w:val="en-US" w:eastAsia="zh-CN"/>
        </w:rPr>
        <w:t>建设范围</w:t>
      </w:r>
    </w:p>
    <w:p>
      <w:pPr>
        <w:spacing w:before="120" w:after="120"/>
        <w:ind w:firstLine="480"/>
        <w:rPr>
          <w:rFonts w:hint="default" w:eastAsia="宋体"/>
          <w:lang w:val="en-US" w:eastAsia="zh-CN"/>
        </w:rPr>
      </w:pPr>
      <w:r>
        <w:rPr>
          <w:rFonts w:hint="eastAsia"/>
          <w:lang w:val="en-US" w:eastAsia="zh-CN"/>
        </w:rPr>
        <w:t>本次项目建设在机房区（21.9平方）和指挥区（55.4平方）建设防静电地板，共77.3‬平方，防静电地板</w:t>
      </w:r>
      <w:r>
        <w:rPr>
          <w:rFonts w:hint="eastAsia" w:ascii="宋体" w:hAnsi="宋体" w:cs="宋体"/>
          <w:highlight w:val="none"/>
        </w:rPr>
        <w:t>铺设高度为</w:t>
      </w:r>
      <w:r>
        <w:rPr>
          <w:rFonts w:hint="eastAsia" w:ascii="宋体" w:hAnsi="宋体" w:cs="宋体"/>
          <w:highlight w:val="none"/>
          <w:lang w:val="en-US" w:eastAsia="zh-CN"/>
        </w:rPr>
        <w:t>2</w:t>
      </w:r>
      <w:r>
        <w:rPr>
          <w:rFonts w:hint="eastAsia" w:ascii="宋体" w:hAnsi="宋体" w:cs="宋体"/>
          <w:highlight w:val="none"/>
        </w:rPr>
        <w:t>50mm</w:t>
      </w:r>
      <w:r>
        <w:rPr>
          <w:rFonts w:hint="eastAsia" w:ascii="宋体" w:hAnsi="宋体" w:cs="宋体"/>
          <w:highlight w:val="none"/>
          <w:lang w:eastAsia="zh-CN"/>
        </w:rPr>
        <w:t>，</w:t>
      </w:r>
      <w:r>
        <w:rPr>
          <w:rFonts w:hint="eastAsia" w:ascii="宋体" w:hAnsi="宋体" w:cs="宋体"/>
          <w:highlight w:val="none"/>
          <w:lang w:val="en-US" w:eastAsia="zh-CN"/>
        </w:rPr>
        <w:t>选用设600*600mm全钢防静电地板。</w:t>
      </w:r>
    </w:p>
    <w:p>
      <w:pPr>
        <w:keepNext w:val="0"/>
        <w:keepLines w:val="0"/>
        <w:pageBreakBefore w:val="0"/>
        <w:widowControl w:val="0"/>
        <w:kinsoku/>
        <w:wordWrap/>
        <w:overflowPunct/>
        <w:topLinePunct w:val="0"/>
        <w:autoSpaceDE/>
        <w:autoSpaceDN/>
        <w:bidi w:val="0"/>
        <w:adjustRightInd/>
        <w:snapToGrid/>
        <w:spacing w:before="120" w:after="120"/>
        <w:ind w:left="-240" w:leftChars="-100" w:firstLine="0" w:firstLineChars="0"/>
        <w:jc w:val="center"/>
        <w:textAlignment w:val="auto"/>
        <w:rPr>
          <w:rFonts w:hint="eastAsia" w:eastAsia="宋体"/>
          <w:lang w:eastAsia="zh-CN"/>
        </w:rPr>
      </w:pPr>
      <w:r>
        <w:rPr>
          <w:rFonts w:hint="eastAsia" w:eastAsia="宋体"/>
          <w:lang w:eastAsia="zh-CN"/>
        </w:rPr>
        <w:drawing>
          <wp:inline distT="0" distB="0" distL="114300" distR="114300">
            <wp:extent cx="4254500" cy="4540885"/>
            <wp:effectExtent l="0" t="0" r="12700" b="12065"/>
            <wp:docPr id="63" name="图片 63" descr="防静电地板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防静电地板_1"/>
                    <pic:cNvPicPr>
                      <a:picLocks noChangeAspect="1"/>
                    </pic:cNvPicPr>
                  </pic:nvPicPr>
                  <pic:blipFill>
                    <a:blip r:embed="rId57"/>
                    <a:srcRect l="8701" t="19450" r="10663" b="19706"/>
                    <a:stretch>
                      <a:fillRect/>
                    </a:stretch>
                  </pic:blipFill>
                  <pic:spPr>
                    <a:xfrm>
                      <a:off x="0" y="0"/>
                      <a:ext cx="4254500" cy="4540885"/>
                    </a:xfrm>
                    <a:prstGeom prst="rect">
                      <a:avLst/>
                    </a:prstGeom>
                  </pic:spPr>
                </pic:pic>
              </a:graphicData>
            </a:graphic>
          </wp:inline>
        </w:drawing>
      </w:r>
    </w:p>
    <w:p>
      <w:pPr>
        <w:ind w:left="0" w:leftChars="0" w:firstLine="0" w:firstLineChars="0"/>
        <w:jc w:val="center"/>
        <w:rPr>
          <w:rFonts w:hint="eastAsia" w:ascii="黑体" w:hAnsi="黑体" w:eastAsia="黑体" w:cs="黑体"/>
          <w:sz w:val="22"/>
          <w:szCs w:val="22"/>
          <w:highlight w:val="none"/>
          <w:u w:val="single"/>
          <w:lang w:val="en-US" w:eastAsia="zh-CN"/>
        </w:rPr>
      </w:pPr>
      <w:r>
        <w:rPr>
          <w:rFonts w:hint="eastAsia" w:ascii="黑体" w:hAnsi="黑体" w:eastAsia="黑体" w:cs="黑体"/>
          <w:sz w:val="22"/>
          <w:szCs w:val="22"/>
          <w:highlight w:val="none"/>
          <w:u w:val="single"/>
          <w:lang w:val="en-US" w:eastAsia="zh-CN"/>
        </w:rPr>
        <w:t>安全管理中心防静电地板平面图</w:t>
      </w:r>
    </w:p>
    <w:p>
      <w:pPr>
        <w:pStyle w:val="4"/>
        <w:ind w:left="-400" w:leftChars="0" w:firstLine="640" w:firstLineChars="0"/>
        <w:rPr>
          <w:rFonts w:hint="eastAsia" w:ascii="宋体" w:hAnsi="宋体" w:cs="宋体"/>
          <w:szCs w:val="20"/>
          <w:highlight w:val="none"/>
          <w:lang w:val="en-US" w:eastAsia="zh-CN"/>
        </w:rPr>
      </w:pPr>
      <w:bookmarkStart w:id="81" w:name="_Toc42712238"/>
      <w:bookmarkStart w:id="82" w:name="_Toc18101"/>
      <w:r>
        <w:rPr>
          <w:rFonts w:hint="eastAsia" w:ascii="宋体" w:hAnsi="宋体" w:cs="宋体"/>
          <w:szCs w:val="20"/>
          <w:highlight w:val="none"/>
          <w:lang w:val="en-US" w:eastAsia="zh-CN"/>
        </w:rPr>
        <w:t>天花吊顶</w:t>
      </w:r>
      <w:bookmarkEnd w:id="81"/>
      <w:bookmarkEnd w:id="82"/>
    </w:p>
    <w:p>
      <w:pPr>
        <w:pStyle w:val="5"/>
        <w:bidi w:val="0"/>
        <w:ind w:left="480" w:leftChars="0" w:firstLine="0" w:firstLineChars="0"/>
        <w:rPr>
          <w:rFonts w:hint="eastAsia"/>
          <w:lang w:val="en-US" w:eastAsia="zh-CN"/>
        </w:rPr>
      </w:pPr>
      <w:r>
        <w:rPr>
          <w:rFonts w:hint="eastAsia"/>
          <w:lang w:val="en-US" w:eastAsia="zh-CN"/>
        </w:rPr>
        <w:t>工艺要求</w:t>
      </w:r>
    </w:p>
    <w:p>
      <w:pPr>
        <w:spacing w:before="120" w:after="120"/>
        <w:ind w:firstLine="480"/>
        <w:rPr>
          <w:rFonts w:ascii="宋体" w:hAnsi="宋体" w:cs="宋体"/>
          <w:highlight w:val="none"/>
        </w:rPr>
      </w:pPr>
      <w:r>
        <w:rPr>
          <w:rFonts w:hint="eastAsia" w:ascii="宋体" w:hAnsi="宋体" w:cs="宋体"/>
          <w:highlight w:val="none"/>
        </w:rPr>
        <w:t>吊顶宜选用不起尘的吸声材料，主</w:t>
      </w:r>
      <w:r>
        <w:rPr>
          <w:rFonts w:ascii="宋体" w:hAnsi="宋体" w:cs="宋体"/>
          <w:highlight w:val="none"/>
        </w:rPr>
        <w:t>机房棚顶装修采用吊顶方式。机房内吊顶主要作用：安装固定照明灯具、走线、各类风口、自动灭火探测器；防止灰尘下落等</w:t>
      </w:r>
    </w:p>
    <w:p>
      <w:pPr>
        <w:spacing w:before="120" w:after="120"/>
        <w:ind w:firstLine="480"/>
        <w:rPr>
          <w:rFonts w:ascii="宋体" w:hAnsi="宋体" w:cs="宋体"/>
          <w:highlight w:val="none"/>
        </w:rPr>
      </w:pPr>
      <w:r>
        <w:rPr>
          <w:rFonts w:hint="eastAsia" w:ascii="宋体" w:hAnsi="宋体" w:cs="宋体"/>
          <w:highlight w:val="none"/>
        </w:rPr>
        <w:t>根据本机房的实际情况。机房所有吊顶设计为单层吊顶，采用金属微孔铝板</w:t>
      </w:r>
      <w:r>
        <w:rPr>
          <w:rFonts w:ascii="宋体" w:hAnsi="宋体" w:cs="宋体"/>
          <w:highlight w:val="none"/>
        </w:rPr>
        <w:t>以轻钢龙骨安装</w:t>
      </w:r>
      <w:r>
        <w:rPr>
          <w:rFonts w:hint="eastAsia" w:ascii="宋体" w:hAnsi="宋体" w:cs="宋体"/>
          <w:highlight w:val="none"/>
        </w:rPr>
        <w:t>。微孔铝板厚度等于0.8mm。并在吊顶之前做对</w:t>
      </w:r>
      <w:r>
        <w:rPr>
          <w:rFonts w:ascii="宋体" w:hAnsi="宋体" w:cs="宋体"/>
          <w:highlight w:val="none"/>
        </w:rPr>
        <w:t>天花板</w:t>
      </w:r>
      <w:r>
        <w:rPr>
          <w:rFonts w:hint="eastAsia" w:ascii="宋体" w:hAnsi="宋体" w:cs="宋体"/>
          <w:highlight w:val="none"/>
        </w:rPr>
        <w:t>防尘处理。</w:t>
      </w:r>
    </w:p>
    <w:p>
      <w:pPr>
        <w:spacing w:before="120" w:after="120"/>
        <w:ind w:firstLine="480"/>
        <w:rPr>
          <w:rFonts w:ascii="宋体" w:hAnsi="宋体" w:cs="宋体"/>
          <w:highlight w:val="none"/>
        </w:rPr>
      </w:pPr>
      <w:r>
        <w:rPr>
          <w:rFonts w:hint="eastAsia" w:ascii="宋体" w:hAnsi="宋体" w:cs="宋体"/>
          <w:highlight w:val="none"/>
        </w:rPr>
        <w:t>铝合金</w:t>
      </w:r>
      <w:r>
        <w:rPr>
          <w:rFonts w:ascii="宋体" w:hAnsi="宋体" w:cs="宋体"/>
          <w:highlight w:val="none"/>
        </w:rPr>
        <w:t>微孔天花</w:t>
      </w:r>
      <w:r>
        <w:rPr>
          <w:rFonts w:hint="eastAsia" w:ascii="宋体" w:hAnsi="宋体" w:cs="宋体"/>
          <w:highlight w:val="none"/>
        </w:rPr>
        <w:t>的规格为600</w:t>
      </w:r>
      <w:r>
        <w:rPr>
          <w:rFonts w:ascii="宋体" w:hAnsi="宋体" w:cs="宋体"/>
          <w:highlight w:val="none"/>
        </w:rPr>
        <w:t>mm</w:t>
      </w:r>
      <w:r>
        <w:rPr>
          <w:rFonts w:hint="eastAsia" w:ascii="宋体" w:hAnsi="宋体" w:cs="宋体"/>
          <w:highlight w:val="none"/>
        </w:rPr>
        <w:t>*600</w:t>
      </w:r>
      <w:r>
        <w:rPr>
          <w:rFonts w:ascii="宋体" w:hAnsi="宋体" w:cs="宋体"/>
          <w:highlight w:val="none"/>
        </w:rPr>
        <w:t>mm</w:t>
      </w:r>
      <w:r>
        <w:rPr>
          <w:rFonts w:hint="eastAsia" w:ascii="宋体" w:hAnsi="宋体" w:cs="宋体"/>
          <w:highlight w:val="none"/>
        </w:rPr>
        <w:t>。天花基板采用合金喷塑板面，</w:t>
      </w:r>
      <w:r>
        <w:rPr>
          <w:rFonts w:ascii="宋体" w:hAnsi="宋体" w:cs="宋体"/>
          <w:highlight w:val="none"/>
        </w:rPr>
        <w:t>配合轻钢龙骨暗骨安装，天花立体感强、容易拆装</w:t>
      </w:r>
      <w:r>
        <w:rPr>
          <w:rFonts w:hint="eastAsia" w:ascii="宋体" w:hAnsi="宋体" w:cs="宋体"/>
          <w:highlight w:val="none"/>
        </w:rPr>
        <w:t>。该天花机械强度高，不受潮，不变形，不起尘，容易清洁，且有吸音效果，色调柔和、不产生弦光，符合</w:t>
      </w:r>
      <w:r>
        <w:rPr>
          <w:rFonts w:ascii="宋体" w:hAnsi="宋体" w:cs="宋体"/>
          <w:highlight w:val="none"/>
        </w:rPr>
        <w:t>规范要求。在安装天花之前，将原楼</w:t>
      </w:r>
      <w:r>
        <w:rPr>
          <w:rFonts w:hint="eastAsia" w:ascii="宋体" w:hAnsi="宋体" w:cs="宋体"/>
          <w:highlight w:val="none"/>
        </w:rPr>
        <w:t>顶</w:t>
      </w:r>
      <w:r>
        <w:rPr>
          <w:rFonts w:ascii="宋体" w:hAnsi="宋体" w:cs="宋体"/>
          <w:highlight w:val="none"/>
        </w:rPr>
        <w:t>清理干净及</w:t>
      </w:r>
      <w:r>
        <w:rPr>
          <w:rFonts w:hint="eastAsia" w:ascii="宋体" w:hAnsi="宋体" w:cs="宋体"/>
          <w:highlight w:val="none"/>
        </w:rPr>
        <w:t>防尘防潮漆</w:t>
      </w:r>
      <w:r>
        <w:rPr>
          <w:rFonts w:ascii="宋体" w:hAnsi="宋体" w:cs="宋体"/>
          <w:highlight w:val="none"/>
        </w:rPr>
        <w:t>二遍。</w:t>
      </w:r>
    </w:p>
    <w:p>
      <w:pPr>
        <w:spacing w:before="120" w:after="120"/>
        <w:ind w:firstLine="480"/>
        <w:rPr>
          <w:rFonts w:ascii="宋体" w:hAnsi="宋体" w:cs="宋体"/>
          <w:highlight w:val="none"/>
        </w:rPr>
      </w:pPr>
      <w:r>
        <w:rPr>
          <w:rFonts w:hint="eastAsia" w:ascii="宋体" w:hAnsi="宋体" w:cs="宋体"/>
          <w:highlight w:val="none"/>
        </w:rPr>
        <w:t>天花的</w:t>
      </w:r>
      <w:r>
        <w:rPr>
          <w:rFonts w:ascii="宋体" w:hAnsi="宋体" w:cs="宋体"/>
          <w:highlight w:val="none"/>
        </w:rPr>
        <w:t>安装方法</w:t>
      </w:r>
      <w:r>
        <w:rPr>
          <w:rFonts w:hint="eastAsia" w:ascii="宋体" w:hAnsi="宋体" w:cs="宋体"/>
          <w:highlight w:val="none"/>
        </w:rPr>
        <w:t>如下：</w:t>
      </w:r>
    </w:p>
    <w:p>
      <w:pPr>
        <w:spacing w:before="120" w:after="120"/>
        <w:ind w:firstLine="480"/>
        <w:rPr>
          <w:rFonts w:ascii="宋体" w:hAnsi="宋体" w:cs="宋体"/>
          <w:highlight w:val="none"/>
        </w:rPr>
      </w:pPr>
      <w:r>
        <w:rPr>
          <w:rFonts w:hint="eastAsia" w:ascii="宋体" w:hAnsi="宋体" w:cs="宋体"/>
          <w:highlight w:val="none"/>
        </w:rPr>
        <w:t>a.</w:t>
      </w:r>
      <w:r>
        <w:rPr>
          <w:rFonts w:ascii="宋体" w:hAnsi="宋体" w:cs="宋体"/>
          <w:highlight w:val="none"/>
        </w:rPr>
        <w:t>将吊件穿在龙骨上，每龙骨一个吊件,再用吊杆吊好,用弹片调节龙骨水平。</w:t>
      </w:r>
    </w:p>
    <w:p>
      <w:pPr>
        <w:spacing w:before="120" w:after="120"/>
        <w:ind w:firstLine="480"/>
        <w:rPr>
          <w:rFonts w:ascii="宋体" w:hAnsi="宋体" w:cs="宋体"/>
          <w:highlight w:val="none"/>
        </w:rPr>
      </w:pPr>
      <w:r>
        <w:rPr>
          <w:rFonts w:hint="eastAsia" w:ascii="宋体" w:hAnsi="宋体" w:cs="宋体"/>
          <w:highlight w:val="none"/>
        </w:rPr>
        <w:t>b.</w:t>
      </w:r>
      <w:r>
        <w:rPr>
          <w:rFonts w:ascii="宋体" w:hAnsi="宋体" w:cs="宋体"/>
          <w:highlight w:val="none"/>
        </w:rPr>
        <w:t>大面积吊顶要用38或50龙骨便于调节水平。</w:t>
      </w:r>
    </w:p>
    <w:p>
      <w:pPr>
        <w:spacing w:before="120" w:after="120"/>
        <w:ind w:firstLine="480"/>
        <w:rPr>
          <w:rFonts w:hint="eastAsia" w:ascii="宋体" w:hAnsi="宋体" w:cs="宋体"/>
          <w:highlight w:val="none"/>
        </w:rPr>
      </w:pPr>
      <w:r>
        <w:rPr>
          <w:rFonts w:hint="eastAsia" w:ascii="宋体" w:hAnsi="宋体" w:cs="宋体"/>
          <w:highlight w:val="none"/>
        </w:rPr>
        <w:t>c.将扣板顺序插入扣紧，并将龙骨保险片压下锁住即可。</w:t>
      </w:r>
    </w:p>
    <w:p>
      <w:pPr>
        <w:spacing w:before="120" w:after="120"/>
        <w:ind w:firstLine="0" w:firstLineChars="0"/>
        <w:jc w:val="center"/>
        <w:rPr>
          <w:rFonts w:ascii="宋体" w:hAnsi="宋体" w:cs="宋体"/>
          <w:highlight w:val="none"/>
        </w:rPr>
      </w:pPr>
      <w:r>
        <w:rPr>
          <w:rFonts w:ascii="宋体" w:hAnsi="宋体"/>
          <w:szCs w:val="21"/>
          <w:highlight w:val="none"/>
        </w:rPr>
        <w:drawing>
          <wp:inline distT="0" distB="0" distL="114300" distR="114300">
            <wp:extent cx="4332605" cy="2647950"/>
            <wp:effectExtent l="25400" t="25400" r="80645" b="88900"/>
            <wp:docPr id="8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4332605" cy="2647950"/>
                    </a:xfrm>
                    <a:prstGeom prst="rect">
                      <a:avLst/>
                    </a:prstGeom>
                    <a:noFill/>
                    <a:ln w="3175"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pPr>
        <w:spacing w:before="120" w:after="120"/>
        <w:ind w:firstLine="0" w:firstLineChars="0"/>
        <w:rPr>
          <w:rFonts w:ascii="宋体" w:hAnsi="宋体" w:cs="宋体"/>
          <w:highlight w:val="none"/>
        </w:rPr>
      </w:pPr>
    </w:p>
    <w:p>
      <w:pPr>
        <w:spacing w:before="120" w:after="120"/>
        <w:ind w:firstLine="0" w:firstLineChars="0"/>
        <w:rPr>
          <w:rFonts w:ascii="宋体" w:hAnsi="宋体" w:cs="宋体"/>
          <w:highlight w:val="none"/>
        </w:rPr>
      </w:pPr>
    </w:p>
    <w:p>
      <w:pPr>
        <w:spacing w:before="120" w:after="120"/>
        <w:ind w:firstLine="0" w:firstLineChars="0"/>
        <w:jc w:val="center"/>
        <w:rPr>
          <w:rFonts w:hint="eastAsia" w:ascii="宋体" w:hAnsi="宋体"/>
          <w:szCs w:val="21"/>
          <w:highlight w:val="none"/>
        </w:rPr>
      </w:pPr>
      <w:r>
        <w:rPr>
          <w:rFonts w:hint="eastAsia" w:ascii="宋体" w:hAnsi="宋体"/>
          <w:szCs w:val="21"/>
          <w:highlight w:val="none"/>
        </w:rPr>
        <w:drawing>
          <wp:inline distT="0" distB="0" distL="114300" distR="114300">
            <wp:extent cx="4248785" cy="2820035"/>
            <wp:effectExtent l="25400" t="25400" r="88265" b="88265"/>
            <wp:docPr id="717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 name="图片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4248785" cy="2820035"/>
                    </a:xfrm>
                    <a:prstGeom prst="rect">
                      <a:avLst/>
                    </a:prstGeom>
                    <a:noFill/>
                    <a:ln w="3175"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pPr>
        <w:pStyle w:val="5"/>
        <w:bidi w:val="0"/>
        <w:ind w:left="480" w:leftChars="0" w:firstLine="0" w:firstLineChars="0"/>
        <w:rPr>
          <w:rFonts w:hint="default"/>
          <w:lang w:val="en-US" w:eastAsia="zh-CN"/>
        </w:rPr>
      </w:pPr>
      <w:r>
        <w:rPr>
          <w:rFonts w:hint="eastAsia"/>
          <w:lang w:val="en-US" w:eastAsia="zh-CN"/>
        </w:rPr>
        <w:t>建设范围</w:t>
      </w:r>
    </w:p>
    <w:p>
      <w:pPr>
        <w:spacing w:before="120" w:after="120"/>
        <w:ind w:firstLine="480"/>
        <w:rPr>
          <w:rFonts w:hint="eastAsia" w:ascii="宋体" w:hAnsi="宋体"/>
          <w:szCs w:val="21"/>
          <w:highlight w:val="none"/>
        </w:rPr>
      </w:pPr>
      <w:r>
        <w:rPr>
          <w:rFonts w:hint="eastAsia"/>
          <w:lang w:val="en-US" w:eastAsia="zh-CN"/>
        </w:rPr>
        <w:t>本次项目建设在机房区（21.9平方）和指挥区（55.4平方）铺设微孔铝板天花，共77.3平方，铺设范围如下：</w:t>
      </w:r>
    </w:p>
    <w:p>
      <w:pPr>
        <w:keepNext w:val="0"/>
        <w:keepLines w:val="0"/>
        <w:pageBreakBefore w:val="0"/>
        <w:widowControl w:val="0"/>
        <w:kinsoku/>
        <w:wordWrap/>
        <w:overflowPunct/>
        <w:topLinePunct w:val="0"/>
        <w:autoSpaceDE/>
        <w:autoSpaceDN/>
        <w:bidi w:val="0"/>
        <w:adjustRightInd/>
        <w:snapToGrid/>
        <w:spacing w:before="120" w:after="120"/>
        <w:ind w:left="-240" w:leftChars="-100" w:firstLine="0" w:firstLineChars="0"/>
        <w:jc w:val="center"/>
        <w:textAlignment w:val="auto"/>
      </w:pPr>
      <w:r>
        <w:drawing>
          <wp:inline distT="0" distB="0" distL="114300" distR="114300">
            <wp:extent cx="5025390" cy="5746750"/>
            <wp:effectExtent l="0" t="0" r="3810" b="6350"/>
            <wp:docPr id="64" name="图片 64" descr="天花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天花_1"/>
                    <pic:cNvPicPr>
                      <a:picLocks noChangeAspect="1"/>
                    </pic:cNvPicPr>
                  </pic:nvPicPr>
                  <pic:blipFill>
                    <a:blip r:embed="rId60"/>
                    <a:srcRect l="4754" t="11163" b="11835"/>
                    <a:stretch>
                      <a:fillRect/>
                    </a:stretch>
                  </pic:blipFill>
                  <pic:spPr>
                    <a:xfrm>
                      <a:off x="0" y="0"/>
                      <a:ext cx="5025390" cy="5746750"/>
                    </a:xfrm>
                    <a:prstGeom prst="rect">
                      <a:avLst/>
                    </a:prstGeom>
                  </pic:spPr>
                </pic:pic>
              </a:graphicData>
            </a:graphic>
          </wp:inline>
        </w:drawing>
      </w:r>
    </w:p>
    <w:p>
      <w:pPr>
        <w:ind w:left="0" w:leftChars="0" w:firstLine="0" w:firstLineChars="0"/>
        <w:jc w:val="center"/>
        <w:rPr>
          <w:rFonts w:hint="eastAsia" w:ascii="黑体" w:hAnsi="黑体" w:eastAsia="黑体" w:cs="黑体"/>
          <w:sz w:val="22"/>
          <w:szCs w:val="22"/>
          <w:highlight w:val="none"/>
          <w:u w:val="single"/>
          <w:lang w:val="en-US" w:eastAsia="zh-CN"/>
        </w:rPr>
      </w:pPr>
      <w:r>
        <w:rPr>
          <w:rFonts w:hint="eastAsia" w:ascii="黑体" w:hAnsi="黑体" w:eastAsia="黑体" w:cs="黑体"/>
          <w:sz w:val="22"/>
          <w:szCs w:val="22"/>
          <w:highlight w:val="none"/>
          <w:u w:val="single"/>
          <w:lang w:val="en-US" w:eastAsia="zh-CN"/>
        </w:rPr>
        <w:t>安全管理中心天花吊顶平面图</w:t>
      </w:r>
    </w:p>
    <w:p>
      <w:pPr>
        <w:pStyle w:val="4"/>
        <w:ind w:left="-400" w:leftChars="0" w:firstLine="640" w:firstLineChars="0"/>
        <w:rPr>
          <w:rFonts w:hint="eastAsia" w:ascii="宋体" w:hAnsi="宋体" w:cs="宋体"/>
          <w:szCs w:val="20"/>
          <w:highlight w:val="none"/>
          <w:lang w:val="en-US" w:eastAsia="zh-CN"/>
        </w:rPr>
      </w:pPr>
      <w:bookmarkStart w:id="83" w:name="_Toc466298563"/>
      <w:bookmarkStart w:id="84" w:name="_Toc42712241"/>
      <w:bookmarkStart w:id="85" w:name="_Toc9933"/>
      <w:r>
        <w:rPr>
          <w:rFonts w:hint="eastAsia" w:ascii="宋体" w:hAnsi="宋体" w:cs="宋体"/>
          <w:szCs w:val="20"/>
          <w:highlight w:val="none"/>
          <w:lang w:val="en-US" w:eastAsia="zh-CN"/>
        </w:rPr>
        <w:t>照明</w:t>
      </w:r>
      <w:bookmarkEnd w:id="83"/>
      <w:bookmarkEnd w:id="84"/>
      <w:r>
        <w:rPr>
          <w:rFonts w:hint="eastAsia" w:ascii="宋体" w:hAnsi="宋体" w:cs="宋体"/>
          <w:szCs w:val="20"/>
          <w:highlight w:val="none"/>
          <w:lang w:val="en-US" w:eastAsia="zh-CN"/>
        </w:rPr>
        <w:t>系统</w:t>
      </w:r>
      <w:bookmarkEnd w:id="85"/>
    </w:p>
    <w:p>
      <w:pPr>
        <w:spacing w:before="163" w:after="163"/>
        <w:ind w:firstLine="480"/>
        <w:rPr>
          <w:rFonts w:hint="eastAsia" w:ascii="宋体" w:hAnsi="宋体" w:cs="宋体"/>
          <w:highlight w:val="none"/>
        </w:rPr>
      </w:pPr>
      <w:r>
        <w:rPr>
          <w:rFonts w:hint="eastAsia" w:ascii="宋体" w:hAnsi="宋体" w:cs="宋体"/>
          <w:highlight w:val="none"/>
        </w:rPr>
        <w:t>机房需要提供足够的光照，以确保工作人员能够清晰地看到设备和操作细节，同时避免眩光和反射。通常，机房的照明应达到300-500勒克斯（lux）。由于机房通常需要24小时连续工作，因此照明设备的节能性非常重要。选择</w:t>
      </w:r>
      <w:r>
        <w:rPr>
          <w:rFonts w:hint="eastAsia" w:ascii="宋体" w:hAnsi="宋体" w:cs="宋体"/>
          <w:highlight w:val="none"/>
          <w:lang w:val="en-US" w:eastAsia="zh-CN"/>
        </w:rPr>
        <w:t>LED</w:t>
      </w:r>
      <w:r>
        <w:rPr>
          <w:rFonts w:hint="eastAsia" w:ascii="宋体" w:hAnsi="宋体" w:cs="宋体"/>
          <w:highlight w:val="none"/>
        </w:rPr>
        <w:t>灯具可以提供较高的能效和寿命，同时减少能源消耗和维护成本。</w:t>
      </w:r>
      <w:r>
        <w:rPr>
          <w:rFonts w:hint="eastAsia" w:ascii="宋体" w:hAnsi="宋体" w:cs="宋体"/>
          <w:highlight w:val="none"/>
          <w:lang w:val="en-US" w:eastAsia="zh-CN"/>
        </w:rPr>
        <w:t>在</w:t>
      </w:r>
      <w:r>
        <w:rPr>
          <w:rFonts w:hint="default" w:ascii="宋体" w:hAnsi="宋体" w:cs="宋体"/>
          <w:highlight w:val="none"/>
        </w:rPr>
        <w:t>机房的照明布局</w:t>
      </w:r>
      <w:r>
        <w:rPr>
          <w:rFonts w:hint="eastAsia" w:ascii="宋体" w:hAnsi="宋体" w:cs="宋体"/>
          <w:highlight w:val="none"/>
          <w:lang w:val="en-US" w:eastAsia="zh-CN"/>
        </w:rPr>
        <w:t>设计上，</w:t>
      </w:r>
      <w:r>
        <w:rPr>
          <w:rFonts w:hint="default" w:ascii="宋体" w:hAnsi="宋体" w:cs="宋体"/>
          <w:highlight w:val="none"/>
        </w:rPr>
        <w:t>应该</w:t>
      </w:r>
      <w:r>
        <w:rPr>
          <w:rFonts w:hint="eastAsia" w:ascii="宋体" w:hAnsi="宋体" w:cs="宋体"/>
          <w:highlight w:val="none"/>
          <w:lang w:val="en-US" w:eastAsia="zh-CN"/>
        </w:rPr>
        <w:t>考虑</w:t>
      </w:r>
      <w:r>
        <w:rPr>
          <w:rFonts w:hint="default" w:ascii="宋体" w:hAnsi="宋体" w:cs="宋体"/>
          <w:highlight w:val="none"/>
        </w:rPr>
        <w:t>均匀分布，避免出现阴影或暗角。可以选择安装吸顶灯具或墙壁灯具，以提供均匀的光照。</w:t>
      </w:r>
    </w:p>
    <w:p>
      <w:pPr>
        <w:spacing w:before="163" w:after="163"/>
        <w:ind w:firstLine="480"/>
        <w:rPr>
          <w:rFonts w:hint="eastAsia" w:ascii="宋体" w:hAnsi="宋体" w:cs="宋体"/>
          <w:highlight w:val="none"/>
          <w:lang w:val="en-US" w:eastAsia="zh-CN"/>
        </w:rPr>
      </w:pPr>
      <w:r>
        <w:rPr>
          <w:rFonts w:hint="eastAsia" w:ascii="宋体" w:hAnsi="宋体" w:cs="宋体"/>
          <w:highlight w:val="none"/>
          <w:lang w:val="en-US" w:eastAsia="zh-CN"/>
        </w:rPr>
        <w:t>在</w:t>
      </w:r>
      <w:r>
        <w:rPr>
          <w:rFonts w:hint="eastAsia" w:ascii="宋体" w:hAnsi="宋体" w:cs="宋体"/>
          <w:b/>
          <w:bCs/>
          <w:highlight w:val="none"/>
          <w:lang w:val="en-US" w:eastAsia="zh-CN"/>
        </w:rPr>
        <w:t>机房和指挥区</w:t>
      </w:r>
      <w:r>
        <w:rPr>
          <w:rFonts w:hint="eastAsia" w:ascii="宋体" w:hAnsi="宋体" w:cs="宋体"/>
          <w:highlight w:val="none"/>
          <w:lang w:val="en-US" w:eastAsia="zh-CN"/>
        </w:rPr>
        <w:t>，设计</w:t>
      </w:r>
      <w:r>
        <w:rPr>
          <w:rFonts w:hint="eastAsia" w:ascii="宋体" w:hAnsi="宋体" w:cs="宋体"/>
          <w:highlight w:val="none"/>
        </w:rPr>
        <w:t>采用</w:t>
      </w:r>
      <w:r>
        <w:rPr>
          <w:rFonts w:hint="eastAsia" w:ascii="宋体" w:hAnsi="宋体" w:cs="宋体"/>
          <w:highlight w:val="none"/>
          <w:lang w:val="en-US" w:eastAsia="zh-CN"/>
        </w:rPr>
        <w:t>LED</w:t>
      </w:r>
      <w:r>
        <w:rPr>
          <w:rFonts w:hint="eastAsia" w:ascii="宋体" w:hAnsi="宋体" w:cs="宋体"/>
          <w:highlight w:val="none"/>
        </w:rPr>
        <w:t>嵌入式</w:t>
      </w:r>
      <w:r>
        <w:rPr>
          <w:rFonts w:hint="eastAsia" w:ascii="宋体" w:hAnsi="宋体" w:cs="宋体"/>
          <w:highlight w:val="none"/>
          <w:lang w:val="en-US" w:eastAsia="zh-CN"/>
        </w:rPr>
        <w:t>灯盘</w:t>
      </w:r>
      <w:r>
        <w:rPr>
          <w:rFonts w:hint="eastAsia" w:ascii="宋体" w:hAnsi="宋体" w:cs="宋体"/>
          <w:highlight w:val="none"/>
        </w:rPr>
        <w:t>，与吊顶搭配协调。</w:t>
      </w:r>
      <w:r>
        <w:rPr>
          <w:rFonts w:hint="eastAsia" w:ascii="宋体" w:hAnsi="宋体" w:cs="宋体"/>
          <w:highlight w:val="none"/>
          <w:lang w:val="en-US" w:eastAsia="zh-CN"/>
        </w:rPr>
        <w:t>为保障</w:t>
      </w:r>
      <w:r>
        <w:rPr>
          <w:rFonts w:hint="eastAsia" w:ascii="宋体" w:hAnsi="宋体" w:cs="宋体"/>
          <w:highlight w:val="none"/>
        </w:rPr>
        <w:t>设计照度不低于500Lx</w:t>
      </w:r>
      <w:r>
        <w:rPr>
          <w:rFonts w:hint="eastAsia" w:ascii="宋体" w:hAnsi="宋体" w:cs="宋体"/>
          <w:highlight w:val="none"/>
          <w:lang w:eastAsia="zh-CN"/>
        </w:rPr>
        <w:t>，</w:t>
      </w:r>
      <w:r>
        <w:rPr>
          <w:rFonts w:hint="eastAsia" w:ascii="宋体" w:hAnsi="宋体" w:cs="宋体"/>
          <w:highlight w:val="none"/>
          <w:lang w:val="en-US" w:eastAsia="zh-CN"/>
        </w:rPr>
        <w:t>本次机房区共设置6套LED</w:t>
      </w:r>
      <w:r>
        <w:rPr>
          <w:rFonts w:hint="eastAsia" w:ascii="宋体" w:hAnsi="宋体" w:cs="宋体"/>
          <w:highlight w:val="none"/>
        </w:rPr>
        <w:t>嵌入式</w:t>
      </w:r>
      <w:r>
        <w:rPr>
          <w:rFonts w:hint="eastAsia" w:ascii="宋体" w:hAnsi="宋体" w:cs="宋体"/>
          <w:highlight w:val="none"/>
          <w:lang w:val="en-US" w:eastAsia="zh-CN"/>
        </w:rPr>
        <w:t>灯盘，值班区共设置9套LED</w:t>
      </w:r>
      <w:r>
        <w:rPr>
          <w:rFonts w:hint="eastAsia" w:ascii="宋体" w:hAnsi="宋体" w:cs="宋体"/>
          <w:highlight w:val="none"/>
        </w:rPr>
        <w:t>嵌入式</w:t>
      </w:r>
      <w:r>
        <w:rPr>
          <w:rFonts w:hint="eastAsia" w:ascii="宋体" w:hAnsi="宋体" w:cs="宋体"/>
          <w:highlight w:val="none"/>
          <w:lang w:val="en-US" w:eastAsia="zh-CN"/>
        </w:rPr>
        <w:t>灯盘。灯盘采用均匀分布，具体部署情况如下：</w:t>
      </w:r>
    </w:p>
    <w:p>
      <w:pPr>
        <w:spacing w:before="163" w:after="163"/>
        <w:ind w:left="0" w:leftChars="0" w:firstLine="0" w:firstLineChars="0"/>
        <w:jc w:val="both"/>
      </w:pPr>
      <w:r>
        <w:drawing>
          <wp:inline distT="0" distB="0" distL="114300" distR="114300">
            <wp:extent cx="5278120" cy="5046980"/>
            <wp:effectExtent l="0" t="0" r="17780" b="1270"/>
            <wp:docPr id="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pic:cNvPicPr>
                      <a:picLocks noChangeAspect="1"/>
                    </pic:cNvPicPr>
                  </pic:nvPicPr>
                  <pic:blipFill>
                    <a:blip r:embed="rId61"/>
                    <a:stretch>
                      <a:fillRect/>
                    </a:stretch>
                  </pic:blipFill>
                  <pic:spPr>
                    <a:xfrm>
                      <a:off x="0" y="0"/>
                      <a:ext cx="5278120" cy="5046980"/>
                    </a:xfrm>
                    <a:prstGeom prst="rect">
                      <a:avLst/>
                    </a:prstGeom>
                    <a:noFill/>
                    <a:ln>
                      <a:noFill/>
                    </a:ln>
                  </pic:spPr>
                </pic:pic>
              </a:graphicData>
            </a:graphic>
          </wp:inline>
        </w:drawing>
      </w:r>
    </w:p>
    <w:p>
      <w:pPr>
        <w:ind w:left="0" w:leftChars="0" w:firstLine="0" w:firstLineChars="0"/>
        <w:jc w:val="center"/>
        <w:rPr>
          <w:rFonts w:hint="eastAsia" w:ascii="黑体" w:hAnsi="黑体" w:eastAsia="黑体" w:cs="黑体"/>
          <w:sz w:val="22"/>
          <w:szCs w:val="22"/>
          <w:highlight w:val="none"/>
          <w:u w:val="single"/>
          <w:lang w:val="en-US" w:eastAsia="zh-CN"/>
        </w:rPr>
      </w:pPr>
      <w:r>
        <w:rPr>
          <w:rFonts w:hint="eastAsia" w:ascii="黑体" w:hAnsi="黑体" w:eastAsia="黑体" w:cs="黑体"/>
          <w:sz w:val="22"/>
          <w:szCs w:val="22"/>
          <w:highlight w:val="none"/>
          <w:u w:val="single"/>
          <w:lang w:val="en-US" w:eastAsia="zh-CN"/>
        </w:rPr>
        <w:t>机房区和指挥区灯具布置平面图</w:t>
      </w:r>
    </w:p>
    <w:p>
      <w:pPr>
        <w:pStyle w:val="4"/>
        <w:ind w:left="-400" w:leftChars="0" w:firstLine="640" w:firstLineChars="0"/>
        <w:rPr>
          <w:rFonts w:hint="eastAsia" w:ascii="宋体" w:hAnsi="宋体" w:cs="宋体"/>
          <w:szCs w:val="20"/>
          <w:highlight w:val="none"/>
          <w:lang w:val="en-US" w:eastAsia="zh-CN"/>
        </w:rPr>
      </w:pPr>
      <w:bookmarkStart w:id="86" w:name="_Toc12944"/>
      <w:r>
        <w:rPr>
          <w:rFonts w:hint="eastAsia" w:ascii="宋体" w:hAnsi="宋体" w:cs="宋体"/>
          <w:szCs w:val="20"/>
          <w:highlight w:val="none"/>
          <w:lang w:val="en-US" w:eastAsia="zh-CN"/>
        </w:rPr>
        <w:t>配电系统</w:t>
      </w:r>
      <w:bookmarkEnd w:id="86"/>
    </w:p>
    <w:p>
      <w:pPr>
        <w:rPr>
          <w:rFonts w:hint="default"/>
          <w:lang w:val="en-US" w:eastAsia="zh-CN"/>
        </w:rPr>
      </w:pPr>
      <w:r>
        <w:rPr>
          <w:rFonts w:hint="eastAsia"/>
          <w:lang w:val="en-US" w:eastAsia="zh-CN"/>
        </w:rPr>
        <w:t>机房和控制室的</w:t>
      </w:r>
      <w:r>
        <w:rPr>
          <w:rFonts w:hint="eastAsia"/>
          <w:lang w:val="zh-CN"/>
        </w:rPr>
        <w:t>配电系统采用三相</w:t>
      </w:r>
      <w:r>
        <w:rPr>
          <w:rFonts w:hint="eastAsia"/>
          <w:lang w:val="en-US" w:eastAsia="zh-CN"/>
        </w:rPr>
        <w:t>五</w:t>
      </w:r>
      <w:r>
        <w:rPr>
          <w:rFonts w:hint="eastAsia"/>
          <w:lang w:val="zh-CN"/>
        </w:rPr>
        <w:t>线，</w:t>
      </w:r>
      <w:r>
        <w:rPr>
          <w:rFonts w:hint="eastAsia"/>
          <w:lang w:val="en-US" w:eastAsia="zh-CN"/>
        </w:rPr>
        <w:t>强电主干由楼栋配电总箱引入，由学校提供强电接入点，总开为需≥100A空气开关。</w:t>
      </w:r>
    </w:p>
    <w:p>
      <w:pPr>
        <w:ind w:left="5" w:firstLine="420" w:firstLineChars="0"/>
        <w:rPr>
          <w:rFonts w:hint="eastAsia"/>
          <w:lang w:val="en-US" w:eastAsia="zh-CN"/>
        </w:rPr>
      </w:pPr>
      <w:r>
        <w:rPr>
          <w:rFonts w:hint="eastAsia"/>
          <w:lang w:val="en-US" w:eastAsia="zh-CN"/>
        </w:rPr>
        <w:t>安全管理中心的</w:t>
      </w:r>
      <w:r>
        <w:rPr>
          <w:rFonts w:hint="eastAsia"/>
          <w:lang w:val="zh-CN"/>
        </w:rPr>
        <w:t>用电插座分为两大类，UPS插座和市电插座。机柜及控制台内配置UPS插座和市电插座，</w:t>
      </w:r>
      <w:r>
        <w:rPr>
          <w:rFonts w:hint="eastAsia"/>
          <w:lang w:val="en-US" w:eastAsia="zh-CN"/>
        </w:rPr>
        <w:t>其余区域采用市电开关，具体配置情况如下图：</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lang w:val="en-US" w:eastAsia="zh-CN"/>
        </w:rPr>
      </w:pPr>
      <w:bookmarkStart w:id="87" w:name="_Toc2682"/>
      <w:r>
        <w:drawing>
          <wp:inline distT="0" distB="0" distL="114300" distR="114300">
            <wp:extent cx="5222875" cy="6313170"/>
            <wp:effectExtent l="0" t="0" r="15875"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2"/>
                    <a:stretch>
                      <a:fillRect/>
                    </a:stretch>
                  </pic:blipFill>
                  <pic:spPr>
                    <a:xfrm>
                      <a:off x="0" y="0"/>
                      <a:ext cx="5222875" cy="6313170"/>
                    </a:xfrm>
                    <a:prstGeom prst="rect">
                      <a:avLst/>
                    </a:prstGeom>
                    <a:noFill/>
                    <a:ln>
                      <a:noFill/>
                    </a:ln>
                  </pic:spPr>
                </pic:pic>
              </a:graphicData>
            </a:graphic>
          </wp:inline>
        </w:drawing>
      </w:r>
      <w:bookmarkEnd w:id="87"/>
    </w:p>
    <w:p>
      <w:pPr>
        <w:ind w:left="5" w:firstLine="420" w:firstLineChars="0"/>
        <w:rPr>
          <w:rFonts w:hint="eastAsia"/>
          <w:lang w:val="en-US" w:eastAsia="zh-CN"/>
        </w:rPr>
      </w:pPr>
      <w:r>
        <w:rPr>
          <w:rFonts w:hint="eastAsia"/>
          <w:lang w:val="zh-CN"/>
        </w:rPr>
        <w:t>所有市电、</w:t>
      </w:r>
      <w:r>
        <w:rPr>
          <w:rFonts w:hint="eastAsia"/>
          <w:lang w:val="en-US" w:eastAsia="zh-CN"/>
        </w:rPr>
        <w:t>应急照明</w:t>
      </w:r>
      <w:r>
        <w:rPr>
          <w:rFonts w:hint="eastAsia"/>
          <w:lang w:val="zh-CN"/>
        </w:rPr>
        <w:t>、空调、门禁系统、备用电源等电源单独分相走线。</w:t>
      </w:r>
    </w:p>
    <w:p>
      <w:pPr>
        <w:spacing w:before="163" w:after="163"/>
        <w:ind w:firstLine="480"/>
        <w:rPr>
          <w:rFonts w:hint="eastAsia" w:ascii="黑体" w:hAnsi="黑体" w:eastAsia="黑体" w:cs="黑体"/>
          <w:sz w:val="22"/>
          <w:szCs w:val="22"/>
          <w:highlight w:val="none"/>
          <w:u w:val="single"/>
          <w:lang w:val="en-US" w:eastAsia="zh-CN"/>
        </w:rPr>
      </w:pPr>
    </w:p>
    <w:p>
      <w:pPr>
        <w:pStyle w:val="2"/>
        <w:keepNext/>
        <w:keepLines/>
        <w:pageBreakBefore/>
        <w:widowControl w:val="0"/>
        <w:kinsoku/>
        <w:wordWrap/>
        <w:overflowPunct/>
        <w:topLinePunct w:val="0"/>
        <w:autoSpaceDE/>
        <w:autoSpaceDN/>
        <w:bidi w:val="0"/>
        <w:adjustRightInd/>
        <w:snapToGrid/>
        <w:ind w:left="482" w:leftChars="0" w:hanging="425" w:firstLineChars="0"/>
        <w:jc w:val="center"/>
        <w:textAlignment w:val="auto"/>
        <w:rPr>
          <w:rFonts w:hint="eastAsia"/>
          <w:highlight w:val="none"/>
        </w:rPr>
      </w:pPr>
      <w:bookmarkStart w:id="88" w:name="_Toc21141"/>
      <w:r>
        <w:rPr>
          <w:rFonts w:hint="eastAsia"/>
          <w:highlight w:val="none"/>
        </w:rPr>
        <w:t>培训及维护</w:t>
      </w:r>
      <w:bookmarkEnd w:id="88"/>
    </w:p>
    <w:p>
      <w:pPr>
        <w:pStyle w:val="3"/>
        <w:bidi w:val="0"/>
        <w:ind w:left="482" w:leftChars="0" w:hanging="425" w:firstLineChars="0"/>
        <w:rPr>
          <w:highlight w:val="none"/>
        </w:rPr>
      </w:pPr>
      <w:bookmarkStart w:id="89" w:name="_Toc48513804"/>
      <w:bookmarkStart w:id="90" w:name="_Toc14275"/>
      <w:bookmarkStart w:id="91" w:name="_Toc48513917"/>
      <w:bookmarkStart w:id="92" w:name="_Toc4682"/>
      <w:r>
        <w:rPr>
          <w:rFonts w:hint="eastAsia"/>
          <w:highlight w:val="none"/>
        </w:rPr>
        <w:t>应用培训计划</w:t>
      </w:r>
      <w:bookmarkEnd w:id="89"/>
      <w:bookmarkEnd w:id="90"/>
      <w:bookmarkEnd w:id="91"/>
      <w:bookmarkEnd w:id="92"/>
    </w:p>
    <w:p>
      <w:pPr>
        <w:pStyle w:val="56"/>
        <w:spacing w:before="156" w:after="156"/>
        <w:ind w:firstLine="480" w:firstLineChars="200"/>
        <w:rPr>
          <w:color w:val="auto"/>
          <w:spacing w:val="0"/>
          <w:highlight w:val="none"/>
        </w:rPr>
      </w:pPr>
      <w:r>
        <w:rPr>
          <w:color w:val="auto"/>
          <w:spacing w:val="0"/>
          <w:highlight w:val="none"/>
        </w:rPr>
        <w:t>为使本系统的操作管理人员能熟练地使用和管理整个系统及掌握基本维护技术，保证系统的安全、可靠、长期稳定高效运行，全面的培训工作是重中之重。针对系统的特点制定了以下培训计划。内容包括将使用的培训方法、需求学员的预备知识、课程持续时间、规模大小、建议使用的设备和课程时间表的详细计划。</w:t>
      </w:r>
    </w:p>
    <w:p>
      <w:pPr>
        <w:pStyle w:val="4"/>
        <w:bidi w:val="0"/>
        <w:ind w:left="482" w:leftChars="0" w:hanging="425" w:firstLineChars="0"/>
        <w:rPr>
          <w:highlight w:val="none"/>
        </w:rPr>
      </w:pPr>
      <w:bookmarkStart w:id="93" w:name="_Toc15679"/>
      <w:bookmarkStart w:id="94" w:name="_Toc507254373"/>
      <w:bookmarkStart w:id="95" w:name="_Toc24042968"/>
      <w:bookmarkStart w:id="96" w:name="_Toc462146133"/>
      <w:bookmarkStart w:id="97" w:name="_Toc470541941"/>
      <w:bookmarkStart w:id="98" w:name="_Toc30414"/>
      <w:r>
        <w:rPr>
          <w:rFonts w:hint="eastAsia"/>
          <w:highlight w:val="none"/>
        </w:rPr>
        <w:t>培训目标及效果</w:t>
      </w:r>
      <w:bookmarkEnd w:id="93"/>
      <w:bookmarkEnd w:id="94"/>
      <w:bookmarkEnd w:id="95"/>
      <w:bookmarkEnd w:id="96"/>
      <w:bookmarkEnd w:id="97"/>
      <w:bookmarkEnd w:id="98"/>
    </w:p>
    <w:p>
      <w:pPr>
        <w:spacing w:before="120" w:after="120"/>
        <w:ind w:firstLine="480"/>
        <w:rPr>
          <w:rFonts w:ascii="宋体" w:hAnsi="宋体" w:cs="宋体"/>
          <w:szCs w:val="28"/>
          <w:highlight w:val="none"/>
        </w:rPr>
      </w:pPr>
      <w:r>
        <w:rPr>
          <w:rFonts w:ascii="宋体" w:hAnsi="宋体" w:cs="宋体"/>
          <w:szCs w:val="28"/>
          <w:highlight w:val="none"/>
        </w:rPr>
        <w:t>在培训工作完成之后，我们将达到如下效果：</w:t>
      </w:r>
    </w:p>
    <w:p>
      <w:pPr>
        <w:numPr>
          <w:ilvl w:val="0"/>
          <w:numId w:val="19"/>
        </w:numPr>
        <w:spacing w:before="156" w:beforeLines="50" w:after="156" w:afterLines="50"/>
        <w:ind w:left="420" w:firstLine="480" w:firstLineChars="0"/>
        <w:jc w:val="left"/>
        <w:rPr>
          <w:rFonts w:ascii="宋体" w:hAnsi="宋体" w:cs="宋体"/>
          <w:szCs w:val="28"/>
          <w:highlight w:val="none"/>
        </w:rPr>
      </w:pPr>
      <w:r>
        <w:rPr>
          <w:rFonts w:hint="eastAsia" w:ascii="宋体" w:hAnsi="宋体" w:cs="宋体"/>
          <w:szCs w:val="28"/>
          <w:highlight w:val="none"/>
        </w:rPr>
        <w:t>各相关</w:t>
      </w:r>
      <w:r>
        <w:rPr>
          <w:rFonts w:ascii="宋体" w:hAnsi="宋体" w:cs="宋体"/>
          <w:szCs w:val="28"/>
          <w:highlight w:val="none"/>
        </w:rPr>
        <w:t>部门领导及工作人员能够熟练的运用本次建设的各系统的功能，能够对各类业务进行方便的搜寻和处理。</w:t>
      </w:r>
    </w:p>
    <w:p>
      <w:pPr>
        <w:numPr>
          <w:ilvl w:val="0"/>
          <w:numId w:val="19"/>
        </w:numPr>
        <w:spacing w:before="156" w:beforeLines="50" w:after="156" w:afterLines="50"/>
        <w:ind w:left="420" w:firstLine="480" w:firstLineChars="0"/>
        <w:jc w:val="left"/>
        <w:rPr>
          <w:rFonts w:ascii="宋体" w:hAnsi="宋体" w:cs="宋体"/>
          <w:szCs w:val="28"/>
          <w:highlight w:val="none"/>
        </w:rPr>
      </w:pPr>
      <w:r>
        <w:rPr>
          <w:rFonts w:hint="eastAsia" w:ascii="宋体" w:hAnsi="宋体" w:cs="宋体"/>
          <w:szCs w:val="28"/>
          <w:highlight w:val="none"/>
        </w:rPr>
        <w:t>对业主的维护技术人员和操作人员进行系统的技术培训与操作指导，使其能够胜任本系统的全部运行、操作、设备和线路的维护、保养以及故障的分析和处理。</w:t>
      </w:r>
    </w:p>
    <w:p>
      <w:pPr>
        <w:pStyle w:val="4"/>
        <w:bidi w:val="0"/>
        <w:ind w:left="482" w:leftChars="0" w:hanging="425" w:firstLineChars="0"/>
        <w:rPr>
          <w:highlight w:val="none"/>
        </w:rPr>
      </w:pPr>
      <w:bookmarkStart w:id="99" w:name="_Toc24042969"/>
      <w:bookmarkStart w:id="100" w:name="_Toc507254374"/>
      <w:bookmarkStart w:id="101" w:name="_Toc10174"/>
      <w:bookmarkStart w:id="102" w:name="_Toc462146134"/>
      <w:bookmarkStart w:id="103" w:name="_Toc470541942"/>
      <w:bookmarkStart w:id="104" w:name="_Toc5512"/>
      <w:r>
        <w:rPr>
          <w:highlight w:val="none"/>
        </w:rPr>
        <w:t>培训方式</w:t>
      </w:r>
      <w:bookmarkEnd w:id="99"/>
      <w:bookmarkEnd w:id="100"/>
      <w:bookmarkEnd w:id="101"/>
      <w:bookmarkEnd w:id="102"/>
      <w:bookmarkEnd w:id="103"/>
      <w:bookmarkEnd w:id="104"/>
    </w:p>
    <w:p>
      <w:pPr>
        <w:spacing w:before="120" w:after="120"/>
        <w:ind w:firstLine="480"/>
        <w:rPr>
          <w:rFonts w:ascii="宋体" w:hAnsi="宋体" w:cs="宋体"/>
          <w:szCs w:val="28"/>
          <w:highlight w:val="none"/>
        </w:rPr>
      </w:pPr>
      <w:r>
        <w:rPr>
          <w:rFonts w:ascii="宋体" w:hAnsi="宋体" w:cs="宋体"/>
          <w:szCs w:val="28"/>
          <w:highlight w:val="none"/>
        </w:rPr>
        <w:t>系统的培训采用理论和实践相结合的方式。理论培训主要以授课方式进行，从专业技术理论的角度对系统进行深入浅出的讲解，提高学员的知识水平。实践操作培训主要以上机操作为主，锻炼学员的动手能力，提升学员对系统的使用和维护能力。</w:t>
      </w:r>
    </w:p>
    <w:p>
      <w:pPr>
        <w:pStyle w:val="4"/>
        <w:bidi w:val="0"/>
        <w:ind w:left="482" w:leftChars="0" w:hanging="425" w:firstLineChars="0"/>
        <w:rPr>
          <w:highlight w:val="none"/>
        </w:rPr>
      </w:pPr>
      <w:bookmarkStart w:id="105" w:name="_Toc470541944"/>
      <w:bookmarkStart w:id="106" w:name="_Toc507254376"/>
      <w:bookmarkStart w:id="107" w:name="_Toc26967"/>
      <w:bookmarkStart w:id="108" w:name="_Toc462146137"/>
      <w:bookmarkStart w:id="109" w:name="_Toc24042970"/>
      <w:bookmarkStart w:id="110" w:name="_Toc28413"/>
      <w:r>
        <w:rPr>
          <w:rFonts w:hint="eastAsia"/>
          <w:highlight w:val="none"/>
        </w:rPr>
        <w:t>培训内容</w:t>
      </w:r>
      <w:bookmarkEnd w:id="105"/>
      <w:bookmarkEnd w:id="106"/>
      <w:bookmarkEnd w:id="107"/>
      <w:bookmarkEnd w:id="108"/>
      <w:bookmarkEnd w:id="109"/>
      <w:bookmarkEnd w:id="110"/>
    </w:p>
    <w:p>
      <w:pPr>
        <w:spacing w:before="120" w:after="120"/>
        <w:ind w:firstLine="480"/>
        <w:rPr>
          <w:rFonts w:ascii="宋体" w:hAnsi="宋体" w:cs="宋体"/>
          <w:szCs w:val="28"/>
          <w:highlight w:val="none"/>
        </w:rPr>
      </w:pPr>
      <w:r>
        <w:rPr>
          <w:rFonts w:hint="eastAsia" w:ascii="宋体" w:hAnsi="宋体" w:cs="宋体"/>
          <w:szCs w:val="28"/>
          <w:highlight w:val="none"/>
        </w:rPr>
        <w:t>由</w:t>
      </w:r>
      <w:r>
        <w:rPr>
          <w:rFonts w:ascii="宋体" w:hAnsi="宋体" w:cs="宋体"/>
          <w:szCs w:val="28"/>
          <w:highlight w:val="none"/>
        </w:rPr>
        <w:t>建设单位预制定培训课程</w:t>
      </w:r>
      <w:r>
        <w:rPr>
          <w:rFonts w:hint="eastAsia" w:ascii="宋体" w:hAnsi="宋体" w:cs="宋体"/>
          <w:szCs w:val="28"/>
          <w:highlight w:val="none"/>
        </w:rPr>
        <w:t>，</w:t>
      </w:r>
      <w:r>
        <w:rPr>
          <w:rFonts w:ascii="宋体" w:hAnsi="宋体" w:cs="宋体"/>
          <w:szCs w:val="28"/>
          <w:highlight w:val="none"/>
        </w:rPr>
        <w:t>待培训大纲预先征得</w:t>
      </w:r>
      <w:r>
        <w:rPr>
          <w:rFonts w:hint="eastAsia" w:ascii="宋体" w:hAnsi="宋体" w:cs="宋体"/>
          <w:szCs w:val="28"/>
          <w:highlight w:val="none"/>
        </w:rPr>
        <w:t>用户</w:t>
      </w:r>
      <w:r>
        <w:rPr>
          <w:rFonts w:ascii="宋体" w:hAnsi="宋体" w:cs="宋体"/>
          <w:szCs w:val="28"/>
          <w:highlight w:val="none"/>
        </w:rPr>
        <w:t>同意</w:t>
      </w:r>
      <w:r>
        <w:rPr>
          <w:rFonts w:hint="eastAsia" w:ascii="宋体" w:hAnsi="宋体" w:cs="宋体"/>
          <w:szCs w:val="28"/>
          <w:highlight w:val="none"/>
        </w:rPr>
        <w:t>后组织</w:t>
      </w:r>
      <w:r>
        <w:rPr>
          <w:rFonts w:ascii="宋体" w:hAnsi="宋体" w:cs="宋体"/>
          <w:szCs w:val="28"/>
          <w:highlight w:val="none"/>
        </w:rPr>
        <w:t>培训</w:t>
      </w:r>
      <w:r>
        <w:rPr>
          <w:rFonts w:hint="eastAsia" w:ascii="宋体" w:hAnsi="宋体" w:cs="宋体"/>
          <w:szCs w:val="28"/>
          <w:highlight w:val="none"/>
        </w:rPr>
        <w:t>，</w:t>
      </w:r>
      <w:r>
        <w:rPr>
          <w:rFonts w:ascii="宋体" w:hAnsi="宋体" w:cs="宋体"/>
          <w:szCs w:val="28"/>
          <w:highlight w:val="none"/>
        </w:rPr>
        <w:t>暂定培训内容如下：</w:t>
      </w:r>
    </w:p>
    <w:p>
      <w:pPr>
        <w:pStyle w:val="46"/>
        <w:numPr>
          <w:ilvl w:val="0"/>
          <w:numId w:val="20"/>
        </w:numPr>
        <w:ind w:firstLineChars="0"/>
        <w:jc w:val="left"/>
        <w:rPr>
          <w:rFonts w:ascii="宋体" w:hAnsi="宋体" w:cs="宋体"/>
          <w:szCs w:val="28"/>
          <w:highlight w:val="none"/>
        </w:rPr>
      </w:pPr>
      <w:r>
        <w:rPr>
          <w:rFonts w:hint="eastAsia" w:ascii="宋体" w:hAnsi="宋体" w:cs="宋体"/>
          <w:szCs w:val="28"/>
          <w:highlight w:val="none"/>
        </w:rPr>
        <w:t>系统设备基本操作介绍；</w:t>
      </w:r>
    </w:p>
    <w:p>
      <w:pPr>
        <w:pStyle w:val="46"/>
        <w:numPr>
          <w:ilvl w:val="0"/>
          <w:numId w:val="20"/>
        </w:numPr>
        <w:ind w:firstLineChars="0"/>
        <w:jc w:val="left"/>
        <w:rPr>
          <w:rFonts w:ascii="宋体" w:hAnsi="宋体" w:cs="宋体"/>
          <w:szCs w:val="28"/>
          <w:highlight w:val="none"/>
        </w:rPr>
      </w:pPr>
      <w:r>
        <w:rPr>
          <w:rFonts w:hint="eastAsia" w:ascii="宋体" w:hAnsi="宋体" w:cs="宋体"/>
          <w:szCs w:val="28"/>
          <w:highlight w:val="none"/>
        </w:rPr>
        <w:t>系统功能介绍；</w:t>
      </w:r>
    </w:p>
    <w:p>
      <w:pPr>
        <w:pStyle w:val="46"/>
        <w:numPr>
          <w:ilvl w:val="0"/>
          <w:numId w:val="20"/>
        </w:numPr>
        <w:ind w:firstLineChars="0"/>
        <w:jc w:val="left"/>
        <w:rPr>
          <w:rFonts w:ascii="宋体" w:hAnsi="宋体" w:cs="宋体"/>
          <w:szCs w:val="28"/>
          <w:highlight w:val="none"/>
        </w:rPr>
      </w:pPr>
      <w:r>
        <w:rPr>
          <w:rFonts w:hint="eastAsia" w:ascii="宋体" w:hAnsi="宋体" w:cs="宋体"/>
          <w:szCs w:val="28"/>
          <w:highlight w:val="none"/>
        </w:rPr>
        <w:t>系统设备维护，包括各子系统及线路、网络等；</w:t>
      </w:r>
    </w:p>
    <w:p>
      <w:pPr>
        <w:pStyle w:val="46"/>
        <w:numPr>
          <w:ilvl w:val="0"/>
          <w:numId w:val="20"/>
        </w:numPr>
        <w:ind w:firstLineChars="0"/>
        <w:jc w:val="left"/>
        <w:rPr>
          <w:rFonts w:ascii="宋体" w:hAnsi="宋体" w:cs="宋体"/>
          <w:szCs w:val="28"/>
          <w:highlight w:val="none"/>
        </w:rPr>
      </w:pPr>
      <w:r>
        <w:rPr>
          <w:rFonts w:hint="eastAsia" w:ascii="宋体" w:hAnsi="宋体" w:cs="宋体"/>
          <w:szCs w:val="28"/>
          <w:highlight w:val="none"/>
        </w:rPr>
        <w:t>系统线路及设备布置介绍；</w:t>
      </w:r>
    </w:p>
    <w:p>
      <w:pPr>
        <w:pStyle w:val="46"/>
        <w:numPr>
          <w:ilvl w:val="0"/>
          <w:numId w:val="20"/>
        </w:numPr>
        <w:ind w:firstLineChars="0"/>
        <w:jc w:val="left"/>
        <w:rPr>
          <w:rFonts w:ascii="宋体" w:hAnsi="宋体" w:cs="宋体"/>
          <w:szCs w:val="28"/>
          <w:highlight w:val="none"/>
        </w:rPr>
      </w:pPr>
      <w:r>
        <w:rPr>
          <w:rFonts w:hint="eastAsia" w:ascii="宋体" w:hAnsi="宋体" w:cs="宋体"/>
          <w:szCs w:val="28"/>
          <w:highlight w:val="none"/>
        </w:rPr>
        <w:t>各种连接（线路）设备的维护；</w:t>
      </w:r>
    </w:p>
    <w:p>
      <w:pPr>
        <w:pStyle w:val="46"/>
        <w:numPr>
          <w:ilvl w:val="0"/>
          <w:numId w:val="20"/>
        </w:numPr>
        <w:ind w:firstLineChars="0"/>
        <w:jc w:val="left"/>
        <w:rPr>
          <w:rFonts w:ascii="宋体" w:hAnsi="宋体" w:cs="宋体"/>
          <w:szCs w:val="28"/>
          <w:highlight w:val="none"/>
        </w:rPr>
      </w:pPr>
      <w:r>
        <w:rPr>
          <w:rFonts w:hint="eastAsia" w:ascii="宋体" w:hAnsi="宋体" w:cs="宋体"/>
          <w:szCs w:val="28"/>
          <w:highlight w:val="none"/>
        </w:rPr>
        <w:t>典型故障原理与处理。</w:t>
      </w:r>
    </w:p>
    <w:p>
      <w:pPr>
        <w:pStyle w:val="3"/>
        <w:bidi w:val="0"/>
        <w:ind w:left="482" w:leftChars="0" w:hanging="425" w:firstLineChars="0"/>
        <w:rPr>
          <w:highlight w:val="none"/>
        </w:rPr>
      </w:pPr>
      <w:bookmarkStart w:id="111" w:name="_Toc2943"/>
      <w:bookmarkStart w:id="112" w:name="_Toc48513918"/>
      <w:bookmarkStart w:id="113" w:name="_Toc48513805"/>
      <w:bookmarkStart w:id="114" w:name="_Toc12896"/>
      <w:r>
        <w:rPr>
          <w:rFonts w:hint="eastAsia"/>
          <w:highlight w:val="none"/>
        </w:rPr>
        <w:t>运行测试方案</w:t>
      </w:r>
      <w:bookmarkEnd w:id="111"/>
      <w:bookmarkEnd w:id="112"/>
      <w:bookmarkEnd w:id="113"/>
      <w:bookmarkEnd w:id="114"/>
    </w:p>
    <w:p>
      <w:pPr>
        <w:pStyle w:val="4"/>
        <w:bidi w:val="0"/>
        <w:ind w:left="482" w:leftChars="0" w:hanging="425" w:firstLineChars="0"/>
        <w:rPr>
          <w:highlight w:val="none"/>
        </w:rPr>
      </w:pPr>
      <w:bookmarkStart w:id="115" w:name="_Toc29089"/>
      <w:bookmarkStart w:id="116" w:name="_Toc26335"/>
      <w:r>
        <w:rPr>
          <w:rFonts w:hint="eastAsia"/>
          <w:highlight w:val="none"/>
        </w:rPr>
        <w:t>试运行要求</w:t>
      </w:r>
      <w:bookmarkEnd w:id="115"/>
      <w:bookmarkEnd w:id="116"/>
    </w:p>
    <w:p>
      <w:pPr>
        <w:pStyle w:val="56"/>
        <w:spacing w:before="156" w:after="156"/>
        <w:ind w:firstLine="480" w:firstLineChars="200"/>
        <w:rPr>
          <w:color w:val="auto"/>
          <w:spacing w:val="0"/>
          <w:highlight w:val="none"/>
        </w:rPr>
      </w:pPr>
      <w:r>
        <w:rPr>
          <w:rFonts w:hint="eastAsia"/>
          <w:color w:val="auto"/>
          <w:spacing w:val="0"/>
          <w:highlight w:val="none"/>
        </w:rPr>
        <w:t>系统的调试分为三个阶段，第一阶段即系统前端设备安装时的现场调试；第二阶段即中心设备安装完毕后的各子系统内调试；第三阶段即各子系统内调试完毕后，各子系统之间的联动调试。</w:t>
      </w:r>
    </w:p>
    <w:p>
      <w:pPr>
        <w:pStyle w:val="56"/>
        <w:spacing w:before="156" w:after="156"/>
        <w:ind w:firstLine="480" w:firstLineChars="200"/>
        <w:rPr>
          <w:color w:val="auto"/>
          <w:spacing w:val="0"/>
          <w:highlight w:val="none"/>
        </w:rPr>
      </w:pPr>
      <w:r>
        <w:rPr>
          <w:rFonts w:hint="eastAsia"/>
          <w:color w:val="auto"/>
          <w:spacing w:val="0"/>
          <w:highlight w:val="none"/>
        </w:rPr>
        <w:t>在各阶段的调试过程中，系统功能测试在完整，如模拟系统在断线、短线、停电等各种特殊情况下的运行是否符合设备及设计的要求，对于发现的问题或需改进方面要详细记录时间、地址、现象、所带来的安全隐患、处理的建议及计划等，并提交项目经理确认处理。</w:t>
      </w:r>
    </w:p>
    <w:p>
      <w:pPr>
        <w:pStyle w:val="56"/>
        <w:spacing w:before="156" w:after="156"/>
        <w:ind w:firstLine="480" w:firstLineChars="200"/>
        <w:rPr>
          <w:color w:val="auto"/>
          <w:spacing w:val="0"/>
          <w:highlight w:val="none"/>
        </w:rPr>
      </w:pPr>
      <w:r>
        <w:rPr>
          <w:rFonts w:hint="eastAsia"/>
          <w:color w:val="auto"/>
          <w:spacing w:val="0"/>
          <w:highlight w:val="none"/>
        </w:rPr>
        <w:t>各子系统之间的联动调试技术难度较大，技术支持工程师要在调试现场进行指导和监督。</w:t>
      </w:r>
    </w:p>
    <w:p>
      <w:pPr>
        <w:pStyle w:val="56"/>
        <w:spacing w:before="156" w:after="156"/>
        <w:ind w:firstLine="480" w:firstLineChars="200"/>
        <w:rPr>
          <w:color w:val="auto"/>
          <w:spacing w:val="0"/>
          <w:highlight w:val="none"/>
        </w:rPr>
      </w:pPr>
      <w:r>
        <w:rPr>
          <w:rFonts w:hint="eastAsia"/>
          <w:color w:val="auto"/>
          <w:spacing w:val="0"/>
          <w:highlight w:val="none"/>
        </w:rPr>
        <w:t>系统调试完毕，系统即进入试运行阶段，根据子系统特点及国家或行业规定，确定系统试运行时间，每天都应跟踪系统试运行情况并做好试运行记录，发现问题及时处理，对发现的问题要有记录、分析及处理方案的记录，问题的处理要及时、彻底，不留隐患，处理方案及处理结果由监理工程师进行确认。</w:t>
      </w:r>
    </w:p>
    <w:p>
      <w:pPr>
        <w:pStyle w:val="56"/>
        <w:spacing w:before="156" w:after="156"/>
        <w:ind w:firstLine="480" w:firstLineChars="200"/>
        <w:rPr>
          <w:color w:val="auto"/>
          <w:spacing w:val="0"/>
          <w:highlight w:val="none"/>
        </w:rPr>
      </w:pPr>
      <w:r>
        <w:rPr>
          <w:rFonts w:hint="eastAsia"/>
          <w:color w:val="auto"/>
          <w:spacing w:val="0"/>
          <w:highlight w:val="none"/>
        </w:rPr>
        <w:t>系统试运行阶段做好试运行记录，包括：</w:t>
      </w:r>
    </w:p>
    <w:p>
      <w:pPr>
        <w:pStyle w:val="56"/>
        <w:numPr>
          <w:ilvl w:val="0"/>
          <w:numId w:val="21"/>
        </w:numPr>
        <w:spacing w:before="156" w:after="156"/>
        <w:ind w:firstLine="480"/>
        <w:rPr>
          <w:color w:val="auto"/>
          <w:spacing w:val="0"/>
          <w:highlight w:val="none"/>
        </w:rPr>
      </w:pPr>
      <w:r>
        <w:rPr>
          <w:rFonts w:hint="eastAsia"/>
          <w:color w:val="auto"/>
          <w:spacing w:val="0"/>
          <w:highlight w:val="none"/>
        </w:rPr>
        <w:t>系统运行是否正常</w:t>
      </w:r>
    </w:p>
    <w:p>
      <w:pPr>
        <w:pStyle w:val="56"/>
        <w:numPr>
          <w:ilvl w:val="0"/>
          <w:numId w:val="21"/>
        </w:numPr>
        <w:spacing w:before="156" w:after="156"/>
        <w:ind w:firstLine="480"/>
        <w:rPr>
          <w:color w:val="auto"/>
          <w:spacing w:val="0"/>
          <w:highlight w:val="none"/>
        </w:rPr>
      </w:pPr>
      <w:r>
        <w:rPr>
          <w:rFonts w:hint="eastAsia"/>
          <w:color w:val="auto"/>
          <w:spacing w:val="0"/>
          <w:highlight w:val="none"/>
        </w:rPr>
        <w:t>系统功能是否符合设计要求</w:t>
      </w:r>
    </w:p>
    <w:p>
      <w:pPr>
        <w:pStyle w:val="56"/>
        <w:numPr>
          <w:ilvl w:val="0"/>
          <w:numId w:val="21"/>
        </w:numPr>
        <w:spacing w:before="156" w:after="156"/>
        <w:ind w:firstLine="480"/>
        <w:rPr>
          <w:color w:val="auto"/>
          <w:spacing w:val="0"/>
          <w:highlight w:val="none"/>
        </w:rPr>
      </w:pPr>
      <w:r>
        <w:rPr>
          <w:rFonts w:hint="eastAsia"/>
          <w:color w:val="auto"/>
          <w:spacing w:val="0"/>
          <w:highlight w:val="none"/>
        </w:rPr>
        <w:t>故障产生的次数，排除故障的时间</w:t>
      </w:r>
    </w:p>
    <w:p>
      <w:pPr>
        <w:pStyle w:val="56"/>
        <w:numPr>
          <w:ilvl w:val="0"/>
          <w:numId w:val="21"/>
        </w:numPr>
        <w:spacing w:before="156" w:after="156"/>
        <w:ind w:firstLine="480"/>
        <w:rPr>
          <w:color w:val="auto"/>
          <w:spacing w:val="0"/>
          <w:highlight w:val="none"/>
        </w:rPr>
      </w:pPr>
      <w:r>
        <w:rPr>
          <w:rFonts w:hint="eastAsia"/>
          <w:color w:val="auto"/>
          <w:spacing w:val="0"/>
          <w:highlight w:val="none"/>
        </w:rPr>
        <w:t>维修服务是否符合合同规定</w:t>
      </w:r>
    </w:p>
    <w:p>
      <w:pPr>
        <w:pStyle w:val="4"/>
        <w:bidi w:val="0"/>
        <w:ind w:left="482" w:leftChars="0" w:hanging="425" w:firstLineChars="0"/>
        <w:rPr>
          <w:highlight w:val="none"/>
        </w:rPr>
      </w:pPr>
      <w:bookmarkStart w:id="117" w:name="_Toc5400"/>
      <w:bookmarkStart w:id="118" w:name="_Toc17308"/>
      <w:r>
        <w:rPr>
          <w:rFonts w:hint="eastAsia"/>
          <w:highlight w:val="none"/>
        </w:rPr>
        <w:t>试运行步骤</w:t>
      </w:r>
      <w:bookmarkEnd w:id="117"/>
      <w:bookmarkEnd w:id="118"/>
    </w:p>
    <w:p>
      <w:pPr>
        <w:pStyle w:val="56"/>
        <w:spacing w:before="156" w:after="156"/>
        <w:ind w:firstLine="480" w:firstLineChars="200"/>
        <w:rPr>
          <w:color w:val="auto"/>
          <w:spacing w:val="0"/>
          <w:highlight w:val="none"/>
        </w:rPr>
      </w:pPr>
      <w:r>
        <w:rPr>
          <w:rFonts w:hint="eastAsia"/>
          <w:color w:val="auto"/>
          <w:spacing w:val="0"/>
          <w:highlight w:val="none"/>
        </w:rPr>
        <w:t>本项目</w:t>
      </w:r>
      <w:r>
        <w:rPr>
          <w:color w:val="auto"/>
          <w:spacing w:val="0"/>
          <w:highlight w:val="none"/>
        </w:rPr>
        <w:t>试运行时间为</w:t>
      </w:r>
      <w:r>
        <w:rPr>
          <w:rFonts w:hint="eastAsia"/>
          <w:color w:val="auto"/>
          <w:spacing w:val="0"/>
          <w:highlight w:val="none"/>
        </w:rPr>
        <w:t>至少为</w:t>
      </w:r>
      <w:r>
        <w:rPr>
          <w:color w:val="auto"/>
          <w:spacing w:val="0"/>
          <w:highlight w:val="none"/>
        </w:rPr>
        <w:t>7天。试运行遵循“从低到高，从小到大，从无到有”的原则。具体流程如下：</w:t>
      </w:r>
    </w:p>
    <w:p>
      <w:pPr>
        <w:spacing w:before="120" w:after="120"/>
        <w:ind w:firstLine="482"/>
        <w:rPr>
          <w:rFonts w:ascii="宋体" w:hAnsi="宋体" w:cs="宋体"/>
          <w:b/>
          <w:bCs/>
          <w:highlight w:val="none"/>
        </w:rPr>
      </w:pPr>
      <w:r>
        <w:rPr>
          <w:rFonts w:ascii="宋体" w:hAnsi="宋体" w:cs="宋体"/>
          <w:b/>
          <w:bCs/>
          <w:highlight w:val="none"/>
        </w:rPr>
        <w:t>1）单点试运行</w:t>
      </w:r>
    </w:p>
    <w:p>
      <w:pPr>
        <w:pStyle w:val="56"/>
        <w:spacing w:before="156" w:after="156"/>
        <w:ind w:firstLine="480" w:firstLineChars="200"/>
        <w:rPr>
          <w:color w:val="auto"/>
          <w:spacing w:val="0"/>
          <w:highlight w:val="none"/>
        </w:rPr>
      </w:pPr>
      <w:r>
        <w:rPr>
          <w:color w:val="auto"/>
          <w:spacing w:val="0"/>
          <w:highlight w:val="none"/>
        </w:rPr>
        <w:t>对前端每个监控点设备进行单点测试，包括前端摄像机的图像实时还原度、色彩饱和度，摄像机的安装牢靠度，摄像机的防雷接地，摄像机的监控角度调校等。</w:t>
      </w:r>
    </w:p>
    <w:p>
      <w:pPr>
        <w:pStyle w:val="56"/>
        <w:spacing w:before="156" w:after="156"/>
        <w:ind w:firstLine="480" w:firstLineChars="200"/>
        <w:rPr>
          <w:color w:val="auto"/>
          <w:spacing w:val="0"/>
          <w:highlight w:val="none"/>
        </w:rPr>
      </w:pPr>
      <w:r>
        <w:rPr>
          <w:color w:val="auto"/>
          <w:spacing w:val="0"/>
          <w:highlight w:val="none"/>
        </w:rPr>
        <w:t>对后台设备进行功能性测试，包括设备的安装及接地，设备安装软件的正常 使用，设备通讯端口的正确配置等。</w:t>
      </w:r>
    </w:p>
    <w:p>
      <w:pPr>
        <w:pStyle w:val="56"/>
        <w:spacing w:before="156" w:after="156"/>
        <w:ind w:firstLine="480" w:firstLineChars="200"/>
        <w:rPr>
          <w:color w:val="auto"/>
          <w:spacing w:val="0"/>
          <w:highlight w:val="none"/>
        </w:rPr>
      </w:pPr>
      <w:r>
        <w:rPr>
          <w:color w:val="auto"/>
          <w:spacing w:val="0"/>
          <w:highlight w:val="none"/>
        </w:rPr>
        <w:t>对系统存储设备的功能性测试，包括设备安装及接地，存储硬盘的安装格式化，设备的参数配置，数据的写入读出等。</w:t>
      </w:r>
    </w:p>
    <w:p>
      <w:pPr>
        <w:pStyle w:val="56"/>
        <w:spacing w:before="156" w:after="156"/>
        <w:ind w:firstLine="480" w:firstLineChars="200"/>
        <w:rPr>
          <w:color w:val="auto"/>
          <w:spacing w:val="0"/>
          <w:highlight w:val="none"/>
        </w:rPr>
      </w:pPr>
      <w:r>
        <w:rPr>
          <w:color w:val="auto"/>
          <w:spacing w:val="0"/>
          <w:highlight w:val="none"/>
        </w:rPr>
        <w:t>对系统传输网络进行抽样测试，包括网络交换设备的端口配置，设备的接入 带宽，光纤的衰减值等。</w:t>
      </w:r>
    </w:p>
    <w:p>
      <w:pPr>
        <w:spacing w:before="120" w:after="120"/>
        <w:ind w:firstLine="482"/>
        <w:rPr>
          <w:rFonts w:ascii="宋体" w:hAnsi="宋体" w:cs="宋体"/>
          <w:b/>
          <w:bCs/>
          <w:highlight w:val="none"/>
        </w:rPr>
      </w:pPr>
      <w:r>
        <w:rPr>
          <w:rFonts w:ascii="宋体" w:hAnsi="宋体" w:cs="宋体"/>
          <w:b/>
          <w:bCs/>
          <w:highlight w:val="none"/>
        </w:rPr>
        <w:t xml:space="preserve">2）系统试运行 </w:t>
      </w:r>
    </w:p>
    <w:p>
      <w:pPr>
        <w:pStyle w:val="56"/>
        <w:spacing w:before="156" w:after="156"/>
        <w:ind w:firstLine="480" w:firstLineChars="200"/>
        <w:rPr>
          <w:color w:val="auto"/>
          <w:spacing w:val="0"/>
          <w:highlight w:val="none"/>
        </w:rPr>
      </w:pPr>
      <w:r>
        <w:rPr>
          <w:color w:val="auto"/>
          <w:spacing w:val="0"/>
          <w:highlight w:val="none"/>
        </w:rPr>
        <w:t>将一路前端视频信号逐一添加进存储管理设备，检查连接情况，码流速率，图像质量，检查录像资料是否完整，检查视频检索回放是否正常。</w:t>
      </w:r>
    </w:p>
    <w:p>
      <w:pPr>
        <w:pStyle w:val="56"/>
        <w:spacing w:before="156" w:after="156"/>
        <w:ind w:firstLine="480" w:firstLineChars="200"/>
        <w:rPr>
          <w:color w:val="auto"/>
          <w:spacing w:val="0"/>
          <w:highlight w:val="none"/>
        </w:rPr>
      </w:pPr>
      <w:r>
        <w:rPr>
          <w:color w:val="auto"/>
          <w:spacing w:val="0"/>
          <w:highlight w:val="none"/>
        </w:rPr>
        <w:t>通视过频显示终端，将前端设备、后端设备逐一添加，检查设备连接情况，检查各设备工作情况是否正常，是否存在兼容性问题。检查软件功能模块是否工作正常。</w:t>
      </w:r>
    </w:p>
    <w:p>
      <w:pPr>
        <w:spacing w:before="120" w:after="120"/>
        <w:ind w:firstLine="482"/>
        <w:rPr>
          <w:rFonts w:ascii="宋体" w:hAnsi="宋体" w:cs="宋体"/>
          <w:b/>
          <w:bCs/>
          <w:highlight w:val="none"/>
        </w:rPr>
      </w:pPr>
      <w:r>
        <w:rPr>
          <w:rFonts w:hint="eastAsia" w:ascii="宋体" w:hAnsi="宋体" w:cs="宋体"/>
          <w:b/>
          <w:bCs/>
          <w:highlight w:val="none"/>
        </w:rPr>
        <w:t>3</w:t>
      </w:r>
      <w:r>
        <w:rPr>
          <w:rFonts w:ascii="宋体" w:hAnsi="宋体" w:cs="宋体"/>
          <w:b/>
          <w:bCs/>
          <w:highlight w:val="none"/>
        </w:rPr>
        <w:t xml:space="preserve">）联动试运行 </w:t>
      </w:r>
    </w:p>
    <w:p>
      <w:pPr>
        <w:pStyle w:val="56"/>
        <w:spacing w:before="156" w:after="156"/>
        <w:ind w:firstLine="480" w:firstLineChars="200"/>
        <w:rPr>
          <w:color w:val="auto"/>
          <w:spacing w:val="0"/>
          <w:highlight w:val="none"/>
        </w:rPr>
      </w:pPr>
      <w:r>
        <w:rPr>
          <w:color w:val="auto"/>
          <w:spacing w:val="0"/>
          <w:highlight w:val="none"/>
        </w:rPr>
        <w:t>在空负荷或小负荷情况下，检测系统的整体运行性能，包括设备的连接情况，前端视频的实时图像质量、存储设备的存储性能、录像的回放质量、网络交换设备的转发吞吐能力等。</w:t>
      </w:r>
    </w:p>
    <w:p>
      <w:pPr>
        <w:pStyle w:val="56"/>
        <w:spacing w:before="156" w:after="156"/>
        <w:ind w:firstLine="480" w:firstLineChars="200"/>
        <w:rPr>
          <w:color w:val="auto"/>
          <w:spacing w:val="0"/>
          <w:highlight w:val="none"/>
        </w:rPr>
      </w:pPr>
      <w:r>
        <w:rPr>
          <w:color w:val="auto"/>
          <w:spacing w:val="0"/>
          <w:highlight w:val="none"/>
        </w:rPr>
        <w:t>在逐渐加大负荷至满负荷的情况下，检测系统的整体运行性能，包括设备的连接情况（是否存在设备掉线）、前端视频的实时图像质量（是否存在掉线、卡 顿、码流速率等）、网络交换设备的转发吞吐能力。</w:t>
      </w:r>
    </w:p>
    <w:p>
      <w:pPr>
        <w:pStyle w:val="3"/>
        <w:bidi w:val="0"/>
        <w:ind w:left="482" w:leftChars="0" w:hanging="425" w:firstLineChars="0"/>
        <w:rPr>
          <w:highlight w:val="none"/>
        </w:rPr>
      </w:pPr>
      <w:bookmarkStart w:id="119" w:name="_Toc71212755"/>
      <w:bookmarkStart w:id="120" w:name="_Toc48513919"/>
      <w:bookmarkStart w:id="121" w:name="_Toc48513806"/>
      <w:bookmarkStart w:id="122" w:name="_Toc7212"/>
      <w:r>
        <w:rPr>
          <w:rFonts w:hint="eastAsia"/>
          <w:highlight w:val="none"/>
        </w:rPr>
        <w:t>系统维护方案</w:t>
      </w:r>
      <w:bookmarkEnd w:id="119"/>
      <w:bookmarkEnd w:id="120"/>
      <w:bookmarkEnd w:id="121"/>
      <w:bookmarkEnd w:id="122"/>
    </w:p>
    <w:p>
      <w:pPr>
        <w:pStyle w:val="4"/>
        <w:bidi w:val="0"/>
        <w:ind w:left="482" w:leftChars="0" w:hanging="425" w:firstLineChars="0"/>
        <w:rPr>
          <w:highlight w:val="none"/>
        </w:rPr>
      </w:pPr>
      <w:bookmarkStart w:id="123" w:name="_Toc71212756"/>
      <w:bookmarkStart w:id="124" w:name="_Toc507254379"/>
      <w:bookmarkStart w:id="125" w:name="_Toc24042973"/>
      <w:bookmarkStart w:id="126" w:name="_Toc470541947"/>
      <w:bookmarkStart w:id="127" w:name="_Toc28121"/>
      <w:r>
        <w:rPr>
          <w:rFonts w:hint="eastAsia"/>
          <w:highlight w:val="none"/>
        </w:rPr>
        <w:t>运维</w:t>
      </w:r>
      <w:r>
        <w:rPr>
          <w:highlight w:val="none"/>
        </w:rPr>
        <w:t>服务时间</w:t>
      </w:r>
      <w:bookmarkEnd w:id="123"/>
      <w:bookmarkEnd w:id="124"/>
      <w:bookmarkEnd w:id="125"/>
      <w:bookmarkEnd w:id="126"/>
      <w:bookmarkEnd w:id="127"/>
    </w:p>
    <w:p>
      <w:pPr>
        <w:spacing w:before="120" w:after="120"/>
        <w:ind w:firstLine="480"/>
        <w:rPr>
          <w:rFonts w:ascii="宋体" w:hAnsi="宋体" w:cs="宋体"/>
          <w:szCs w:val="28"/>
          <w:highlight w:val="none"/>
        </w:rPr>
      </w:pPr>
      <w:r>
        <w:rPr>
          <w:rFonts w:ascii="宋体" w:hAnsi="宋体" w:cs="宋体"/>
          <w:szCs w:val="28"/>
          <w:highlight w:val="none"/>
        </w:rPr>
        <w:t>本项目免费质保期时间自验收合格签字之日起计算。提供</w:t>
      </w:r>
      <w:r>
        <w:rPr>
          <w:rFonts w:hint="eastAsia" w:ascii="宋体" w:hAnsi="宋体" w:cs="宋体"/>
          <w:b/>
          <w:szCs w:val="28"/>
          <w:highlight w:val="none"/>
          <w:u w:val="single"/>
        </w:rPr>
        <w:t>一</w:t>
      </w:r>
      <w:r>
        <w:rPr>
          <w:rFonts w:ascii="宋体" w:hAnsi="宋体" w:cs="宋体"/>
          <w:b/>
          <w:szCs w:val="28"/>
          <w:highlight w:val="none"/>
          <w:u w:val="single"/>
        </w:rPr>
        <w:t>年</w:t>
      </w:r>
      <w:r>
        <w:rPr>
          <w:rFonts w:ascii="宋体" w:hAnsi="宋体" w:cs="宋体"/>
          <w:szCs w:val="28"/>
          <w:highlight w:val="none"/>
        </w:rPr>
        <w:t>的保修服务</w:t>
      </w:r>
      <w:r>
        <w:rPr>
          <w:rFonts w:hint="eastAsia" w:ascii="宋体" w:hAnsi="宋体" w:cs="宋体"/>
          <w:szCs w:val="28"/>
          <w:highlight w:val="none"/>
        </w:rPr>
        <w:t>。</w:t>
      </w:r>
    </w:p>
    <w:p>
      <w:pPr>
        <w:pStyle w:val="4"/>
        <w:bidi w:val="0"/>
        <w:ind w:left="482" w:leftChars="0" w:hanging="425" w:firstLineChars="0"/>
        <w:rPr>
          <w:highlight w:val="none"/>
        </w:rPr>
      </w:pPr>
      <w:bookmarkStart w:id="128" w:name="_Toc71212757"/>
      <w:bookmarkStart w:id="129" w:name="_Toc507254380"/>
      <w:bookmarkStart w:id="130" w:name="_Toc470541948"/>
      <w:bookmarkStart w:id="131" w:name="_Toc24042974"/>
      <w:bookmarkStart w:id="132" w:name="_Toc12199"/>
      <w:r>
        <w:rPr>
          <w:rFonts w:hint="eastAsia"/>
          <w:highlight w:val="none"/>
        </w:rPr>
        <w:t>运维</w:t>
      </w:r>
      <w:r>
        <w:rPr>
          <w:highlight w:val="none"/>
        </w:rPr>
        <w:t>服务</w:t>
      </w:r>
      <w:r>
        <w:rPr>
          <w:rFonts w:hint="eastAsia"/>
          <w:highlight w:val="none"/>
        </w:rPr>
        <w:t>范围</w:t>
      </w:r>
      <w:bookmarkEnd w:id="128"/>
      <w:bookmarkEnd w:id="129"/>
      <w:bookmarkEnd w:id="130"/>
      <w:bookmarkEnd w:id="131"/>
      <w:bookmarkEnd w:id="132"/>
    </w:p>
    <w:p>
      <w:pPr>
        <w:spacing w:before="120" w:after="120"/>
        <w:ind w:firstLine="480"/>
        <w:rPr>
          <w:rFonts w:ascii="宋体" w:hAnsi="宋体" w:cs="宋体"/>
          <w:szCs w:val="28"/>
          <w:highlight w:val="none"/>
        </w:rPr>
      </w:pPr>
      <w:r>
        <w:rPr>
          <w:rFonts w:hint="eastAsia" w:ascii="宋体" w:hAnsi="宋体" w:cs="宋体"/>
          <w:szCs w:val="28"/>
          <w:highlight w:val="none"/>
        </w:rPr>
        <w:t>不超过项目建设已开发的应用软件和提供的硬件设备的范围。维护内容只对原建设项目签订的合同内涉及的软、硬件有效。非合同范围内的设备，维护商协助建设单位完成部分检查和报障工作，但不承担其风险及责任。</w:t>
      </w:r>
    </w:p>
    <w:p>
      <w:pPr>
        <w:pStyle w:val="4"/>
        <w:bidi w:val="0"/>
        <w:ind w:left="482" w:leftChars="0" w:hanging="425" w:firstLineChars="0"/>
        <w:rPr>
          <w:highlight w:val="none"/>
        </w:rPr>
      </w:pPr>
      <w:bookmarkStart w:id="133" w:name="_Toc71212758"/>
      <w:bookmarkStart w:id="134" w:name="_Toc470541949"/>
      <w:bookmarkStart w:id="135" w:name="_Toc24042975"/>
      <w:bookmarkStart w:id="136" w:name="_Toc507254381"/>
      <w:bookmarkStart w:id="137" w:name="_Toc10983"/>
      <w:r>
        <w:rPr>
          <w:rFonts w:hint="eastAsia"/>
          <w:highlight w:val="none"/>
        </w:rPr>
        <w:t>运维内容和</w:t>
      </w:r>
      <w:r>
        <w:rPr>
          <w:highlight w:val="none"/>
        </w:rPr>
        <w:t>方式</w:t>
      </w:r>
      <w:bookmarkEnd w:id="133"/>
      <w:bookmarkEnd w:id="134"/>
      <w:bookmarkEnd w:id="135"/>
      <w:bookmarkEnd w:id="136"/>
      <w:bookmarkEnd w:id="137"/>
    </w:p>
    <w:p>
      <w:pPr>
        <w:pStyle w:val="46"/>
        <w:numPr>
          <w:ilvl w:val="0"/>
          <w:numId w:val="22"/>
        </w:numPr>
        <w:ind w:firstLineChars="0"/>
        <w:jc w:val="left"/>
        <w:rPr>
          <w:rFonts w:ascii="宋体" w:hAnsi="宋体" w:cs="宋体"/>
          <w:szCs w:val="28"/>
          <w:highlight w:val="none"/>
        </w:rPr>
      </w:pPr>
      <w:r>
        <w:rPr>
          <w:rFonts w:hint="eastAsia" w:ascii="宋体" w:hAnsi="宋体" w:cs="宋体"/>
          <w:szCs w:val="28"/>
          <w:highlight w:val="none"/>
        </w:rPr>
        <w:t>常规</w:t>
      </w:r>
      <w:r>
        <w:rPr>
          <w:rFonts w:ascii="宋体" w:hAnsi="宋体" w:cs="宋体"/>
          <w:szCs w:val="28"/>
          <w:highlight w:val="none"/>
        </w:rPr>
        <w:t>功能运维</w:t>
      </w:r>
      <w:r>
        <w:rPr>
          <w:rFonts w:hint="eastAsia" w:ascii="宋体" w:hAnsi="宋体" w:cs="宋体"/>
          <w:szCs w:val="28"/>
          <w:highlight w:val="none"/>
        </w:rPr>
        <w:t>：</w:t>
      </w:r>
      <w:r>
        <w:rPr>
          <w:rFonts w:ascii="宋体" w:hAnsi="宋体" w:cs="宋体"/>
          <w:szCs w:val="28"/>
          <w:highlight w:val="none"/>
        </w:rPr>
        <w:t>提供包括系统维护、功能完善、性能提升、故障检测等服务，保证系统正常运行；</w:t>
      </w:r>
    </w:p>
    <w:p>
      <w:pPr>
        <w:pStyle w:val="46"/>
        <w:numPr>
          <w:ilvl w:val="0"/>
          <w:numId w:val="22"/>
        </w:numPr>
        <w:ind w:firstLineChars="0"/>
        <w:jc w:val="left"/>
        <w:rPr>
          <w:rFonts w:ascii="宋体" w:hAnsi="宋体" w:cs="宋体"/>
          <w:szCs w:val="28"/>
          <w:highlight w:val="none"/>
        </w:rPr>
      </w:pPr>
      <w:r>
        <w:rPr>
          <w:rFonts w:ascii="宋体" w:hAnsi="宋体" w:cs="宋体"/>
          <w:szCs w:val="28"/>
          <w:highlight w:val="none"/>
        </w:rPr>
        <w:t>提供</w:t>
      </w:r>
      <w:r>
        <w:rPr>
          <w:rFonts w:hint="eastAsia" w:ascii="宋体" w:hAnsi="宋体" w:cs="宋体"/>
          <w:szCs w:val="28"/>
          <w:highlight w:val="none"/>
        </w:rPr>
        <w:t>驻场</w:t>
      </w:r>
      <w:r>
        <w:rPr>
          <w:rFonts w:ascii="宋体" w:hAnsi="宋体" w:cs="宋体"/>
          <w:szCs w:val="28"/>
          <w:highlight w:val="none"/>
        </w:rPr>
        <w:t>服务为主，远程维护为辅的服务方式；</w:t>
      </w:r>
    </w:p>
    <w:p>
      <w:pPr>
        <w:pStyle w:val="46"/>
        <w:numPr>
          <w:ilvl w:val="0"/>
          <w:numId w:val="22"/>
        </w:numPr>
        <w:ind w:firstLineChars="0"/>
        <w:jc w:val="left"/>
        <w:rPr>
          <w:rFonts w:ascii="宋体" w:hAnsi="宋体" w:cs="宋体"/>
          <w:szCs w:val="28"/>
          <w:highlight w:val="none"/>
        </w:rPr>
      </w:pPr>
      <w:r>
        <w:rPr>
          <w:rFonts w:ascii="宋体" w:hAnsi="宋体" w:cs="宋体"/>
          <w:szCs w:val="28"/>
          <w:highlight w:val="none"/>
        </w:rPr>
        <w:t>提供日常技术维护，对系统进行3个月一次的例行巡检、维护工作；</w:t>
      </w:r>
    </w:p>
    <w:p>
      <w:pPr>
        <w:pStyle w:val="46"/>
        <w:numPr>
          <w:ilvl w:val="0"/>
          <w:numId w:val="22"/>
        </w:numPr>
        <w:ind w:firstLineChars="0"/>
        <w:jc w:val="left"/>
        <w:rPr>
          <w:rFonts w:ascii="宋体" w:hAnsi="宋体" w:cs="宋体"/>
          <w:szCs w:val="28"/>
          <w:highlight w:val="none"/>
        </w:rPr>
      </w:pPr>
      <w:r>
        <w:rPr>
          <w:rFonts w:ascii="宋体" w:hAnsi="宋体" w:cs="宋体"/>
          <w:szCs w:val="28"/>
          <w:highlight w:val="none"/>
        </w:rPr>
        <w:t>提供适应性维护，包括对在应用过程中发现的故障、缺陷进行修复，以及业主方提出的适应性专项维护，例如部署调整、系统迁移等；</w:t>
      </w:r>
    </w:p>
    <w:p>
      <w:pPr>
        <w:pStyle w:val="46"/>
        <w:numPr>
          <w:ilvl w:val="0"/>
          <w:numId w:val="22"/>
        </w:numPr>
        <w:ind w:firstLineChars="0"/>
        <w:jc w:val="left"/>
        <w:rPr>
          <w:rFonts w:ascii="宋体" w:hAnsi="宋体" w:cs="宋体"/>
          <w:szCs w:val="28"/>
          <w:highlight w:val="none"/>
        </w:rPr>
      </w:pPr>
      <w:r>
        <w:rPr>
          <w:rFonts w:ascii="宋体" w:hAnsi="宋体" w:cs="宋体"/>
          <w:szCs w:val="28"/>
          <w:highlight w:val="none"/>
        </w:rPr>
        <w:t>全天候24小时服务响应，接到用户的维修维护请求后即时响应，对于重大问题，即时组织技术小组2小时内到现场处理故障，并及时</w:t>
      </w:r>
      <w:r>
        <w:rPr>
          <w:rFonts w:hint="eastAsia" w:ascii="宋体" w:hAnsi="宋体" w:cs="宋体"/>
          <w:szCs w:val="28"/>
          <w:highlight w:val="none"/>
        </w:rPr>
        <w:t>做出</w:t>
      </w:r>
      <w:r>
        <w:rPr>
          <w:rFonts w:ascii="宋体" w:hAnsi="宋体" w:cs="宋体"/>
          <w:szCs w:val="28"/>
          <w:highlight w:val="none"/>
        </w:rPr>
        <w:t>故障原因报告并提出有效措施加以解决；</w:t>
      </w:r>
    </w:p>
    <w:p>
      <w:pPr>
        <w:pStyle w:val="4"/>
        <w:bidi w:val="0"/>
        <w:ind w:left="482" w:leftChars="0" w:hanging="425" w:firstLineChars="0"/>
        <w:rPr>
          <w:highlight w:val="none"/>
        </w:rPr>
      </w:pPr>
      <w:bookmarkStart w:id="138" w:name="_Toc24042976"/>
      <w:bookmarkStart w:id="139" w:name="_Toc71212759"/>
      <w:bookmarkStart w:id="140" w:name="_Toc507254383"/>
      <w:bookmarkStart w:id="141" w:name="_Toc470541951"/>
      <w:bookmarkStart w:id="142" w:name="_Toc1949"/>
      <w:r>
        <w:rPr>
          <w:rFonts w:hint="eastAsia"/>
          <w:highlight w:val="none"/>
        </w:rPr>
        <w:t>响应时间</w:t>
      </w:r>
      <w:bookmarkEnd w:id="138"/>
      <w:bookmarkEnd w:id="139"/>
      <w:bookmarkEnd w:id="140"/>
      <w:bookmarkEnd w:id="141"/>
      <w:bookmarkEnd w:id="142"/>
    </w:p>
    <w:p>
      <w:pPr>
        <w:spacing w:before="120" w:after="120"/>
        <w:ind w:firstLine="480"/>
        <w:rPr>
          <w:rFonts w:ascii="宋体" w:hAnsi="宋体" w:cs="宋体"/>
          <w:highlight w:val="none"/>
        </w:rPr>
      </w:pPr>
      <w:r>
        <w:rPr>
          <w:rFonts w:hint="eastAsia" w:ascii="宋体" w:hAnsi="宋体" w:cs="宋体"/>
          <w:highlight w:val="none"/>
        </w:rPr>
        <w:t>质保期内，承建单位对使用人提出的质量问题和维修要求，在接到用户通知后</w:t>
      </w:r>
      <w:r>
        <w:rPr>
          <w:rFonts w:ascii="宋体" w:hAnsi="宋体" w:cs="宋体"/>
          <w:highlight w:val="none"/>
        </w:rPr>
        <w:t>1</w:t>
      </w:r>
      <w:r>
        <w:rPr>
          <w:rFonts w:hint="eastAsia" w:ascii="宋体" w:hAnsi="宋体" w:cs="宋体"/>
          <w:highlight w:val="none"/>
        </w:rPr>
        <w:t>小时内作出响应，并于</w:t>
      </w:r>
      <w:r>
        <w:rPr>
          <w:rFonts w:ascii="宋体" w:hAnsi="宋体" w:cs="宋体"/>
          <w:highlight w:val="none"/>
        </w:rPr>
        <w:t>8</w:t>
      </w:r>
      <w:r>
        <w:rPr>
          <w:rFonts w:hint="eastAsia" w:ascii="宋体" w:hAnsi="宋体" w:cs="宋体"/>
          <w:highlight w:val="none"/>
        </w:rPr>
        <w:t>个小时内到达现场并进行处理，</w:t>
      </w:r>
      <w:r>
        <w:rPr>
          <w:rFonts w:ascii="宋体" w:hAnsi="宋体" w:cs="宋体"/>
          <w:highlight w:val="none"/>
        </w:rPr>
        <w:t>24小时内排除故障</w:t>
      </w:r>
      <w:r>
        <w:rPr>
          <w:rFonts w:hint="eastAsia" w:ascii="宋体" w:hAnsi="宋体" w:cs="宋体"/>
          <w:highlight w:val="none"/>
        </w:rPr>
        <w:t>，更换有缺陷的货物或部件、排除故障。</w:t>
      </w:r>
    </w:p>
    <w:p>
      <w:pPr>
        <w:pStyle w:val="4"/>
        <w:bidi w:val="0"/>
        <w:ind w:left="482" w:leftChars="0" w:hanging="425" w:firstLineChars="0"/>
        <w:rPr>
          <w:highlight w:val="none"/>
        </w:rPr>
      </w:pPr>
      <w:bookmarkStart w:id="143" w:name="_Toc470541952"/>
      <w:bookmarkStart w:id="144" w:name="_Toc507254384"/>
      <w:bookmarkStart w:id="145" w:name="_Toc71212760"/>
      <w:bookmarkStart w:id="146" w:name="_Toc24042977"/>
      <w:bookmarkStart w:id="147" w:name="_Toc5327"/>
      <w:r>
        <w:rPr>
          <w:rFonts w:hint="eastAsia"/>
          <w:highlight w:val="none"/>
        </w:rPr>
        <w:t>运维的保障机制</w:t>
      </w:r>
      <w:bookmarkEnd w:id="143"/>
      <w:bookmarkEnd w:id="144"/>
      <w:bookmarkEnd w:id="145"/>
      <w:bookmarkEnd w:id="146"/>
      <w:bookmarkEnd w:id="147"/>
    </w:p>
    <w:p>
      <w:pPr>
        <w:spacing w:before="120" w:after="120"/>
        <w:ind w:firstLine="480"/>
        <w:rPr>
          <w:rFonts w:ascii="宋体" w:hAnsi="宋体" w:cs="宋体"/>
          <w:highlight w:val="none"/>
        </w:rPr>
      </w:pPr>
      <w:r>
        <w:rPr>
          <w:rFonts w:hint="eastAsia" w:ascii="宋体" w:hAnsi="宋体" w:cs="宋体"/>
          <w:highlight w:val="none"/>
        </w:rPr>
        <w:t>为保证系统的正常运行，清除事故隐患，提高系统运行效率，树立良好的服务形象，保证维护效果，必须遵守以下维护制度：</w:t>
      </w:r>
      <w:bookmarkStart w:id="148" w:name="_Toc212889297"/>
      <w:bookmarkStart w:id="149" w:name="_Toc527913168"/>
      <w:bookmarkStart w:id="150" w:name="_Toc527913547"/>
      <w:bookmarkStart w:id="151" w:name="_Toc311079866"/>
      <w:bookmarkStart w:id="152" w:name="_Toc527957539"/>
      <w:bookmarkStart w:id="153" w:name="_Toc527912942"/>
      <w:bookmarkStart w:id="154" w:name="_Toc527913283"/>
      <w:bookmarkStart w:id="155" w:name="_Toc116791930"/>
      <w:bookmarkStart w:id="156" w:name="_Toc311751561"/>
      <w:bookmarkStart w:id="157" w:name="_Toc104528843"/>
      <w:bookmarkStart w:id="158" w:name="_Toc280018632"/>
    </w:p>
    <w:bookmarkEnd w:id="148"/>
    <w:bookmarkEnd w:id="149"/>
    <w:bookmarkEnd w:id="150"/>
    <w:bookmarkEnd w:id="151"/>
    <w:bookmarkEnd w:id="152"/>
    <w:bookmarkEnd w:id="153"/>
    <w:bookmarkEnd w:id="154"/>
    <w:bookmarkEnd w:id="155"/>
    <w:bookmarkEnd w:id="156"/>
    <w:bookmarkEnd w:id="157"/>
    <w:bookmarkEnd w:id="158"/>
    <w:p>
      <w:pPr>
        <w:pStyle w:val="46"/>
        <w:numPr>
          <w:ilvl w:val="0"/>
          <w:numId w:val="23"/>
        </w:numPr>
        <w:spacing w:before="156" w:beforeLines="50" w:after="156" w:afterLines="50"/>
        <w:ind w:left="900" w:firstLineChars="0"/>
        <w:jc w:val="left"/>
        <w:rPr>
          <w:rFonts w:ascii="宋体" w:hAnsi="宋体" w:cs="宋体"/>
          <w:b/>
          <w:highlight w:val="none"/>
        </w:rPr>
      </w:pPr>
      <w:bookmarkStart w:id="159" w:name="_Toc527957540"/>
      <w:bookmarkStart w:id="160" w:name="_Toc104528844"/>
      <w:bookmarkStart w:id="161" w:name="_Toc527913548"/>
      <w:bookmarkStart w:id="162" w:name="_Toc280018633"/>
      <w:bookmarkStart w:id="163" w:name="_Toc527912943"/>
      <w:bookmarkStart w:id="164" w:name="_Toc311079867"/>
      <w:bookmarkStart w:id="165" w:name="_Toc116791931"/>
      <w:bookmarkStart w:id="166" w:name="_Toc311751562"/>
      <w:bookmarkStart w:id="167" w:name="_Toc527913284"/>
      <w:bookmarkStart w:id="168" w:name="_Toc527913169"/>
      <w:bookmarkStart w:id="169" w:name="_Toc401832940"/>
      <w:bookmarkStart w:id="170" w:name="_Toc212889298"/>
      <w:r>
        <w:rPr>
          <w:rFonts w:hint="eastAsia" w:ascii="宋体" w:hAnsi="宋体" w:cs="宋体"/>
          <w:b/>
          <w:highlight w:val="none"/>
        </w:rPr>
        <w:t>服务人员职责</w:t>
      </w:r>
      <w:bookmarkEnd w:id="159"/>
      <w:bookmarkEnd w:id="160"/>
      <w:bookmarkEnd w:id="161"/>
      <w:bookmarkEnd w:id="162"/>
      <w:bookmarkEnd w:id="163"/>
      <w:bookmarkEnd w:id="164"/>
      <w:bookmarkEnd w:id="165"/>
      <w:bookmarkEnd w:id="166"/>
      <w:bookmarkEnd w:id="167"/>
      <w:bookmarkEnd w:id="168"/>
      <w:bookmarkEnd w:id="169"/>
      <w:bookmarkEnd w:id="170"/>
    </w:p>
    <w:p>
      <w:pPr>
        <w:spacing w:before="120" w:after="120"/>
        <w:ind w:firstLine="480"/>
        <w:rPr>
          <w:rFonts w:ascii="宋体" w:hAnsi="宋体" w:cs="宋体"/>
          <w:highlight w:val="none"/>
        </w:rPr>
      </w:pPr>
      <w:r>
        <w:rPr>
          <w:rFonts w:hint="eastAsia" w:ascii="宋体" w:hAnsi="宋体" w:cs="宋体"/>
          <w:highlight w:val="none"/>
        </w:rPr>
        <w:t>1、指派专人为维护检查提供必要的条件，如在必要时，通知有关部门和人员暂停业务；</w:t>
      </w:r>
    </w:p>
    <w:p>
      <w:pPr>
        <w:spacing w:before="120" w:after="120"/>
        <w:ind w:firstLine="480"/>
        <w:rPr>
          <w:rFonts w:ascii="宋体" w:hAnsi="宋体" w:cs="宋体"/>
          <w:highlight w:val="none"/>
        </w:rPr>
      </w:pPr>
      <w:r>
        <w:rPr>
          <w:rFonts w:hint="eastAsia" w:ascii="宋体" w:hAnsi="宋体" w:cs="宋体"/>
          <w:highlight w:val="none"/>
        </w:rPr>
        <w:t>2、维护人员在服务前应作好规划，制定详细的检查项目、步骤和方法、所需时间，并与客户商定巡检时间，确保巡检质量和效率；</w:t>
      </w:r>
    </w:p>
    <w:p>
      <w:pPr>
        <w:spacing w:before="120" w:after="120"/>
        <w:ind w:firstLine="480"/>
        <w:rPr>
          <w:rFonts w:ascii="宋体" w:hAnsi="宋体" w:cs="宋体"/>
          <w:highlight w:val="none"/>
        </w:rPr>
      </w:pPr>
      <w:r>
        <w:rPr>
          <w:rFonts w:hint="eastAsia" w:ascii="宋体" w:hAnsi="宋体" w:cs="宋体"/>
          <w:highlight w:val="none"/>
        </w:rPr>
        <w:t>3、维护人员必须严格遵照服务制度规定的流程和方法进行操作，与建设单位协助人员保持良好的沟通，在必须停机检测前必须向对方说明情况，取得对方的同意才能进行。</w:t>
      </w:r>
    </w:p>
    <w:p>
      <w:pPr>
        <w:pStyle w:val="46"/>
        <w:numPr>
          <w:ilvl w:val="0"/>
          <w:numId w:val="23"/>
        </w:numPr>
        <w:spacing w:before="156" w:beforeLines="50" w:after="156" w:afterLines="50"/>
        <w:ind w:left="900" w:firstLineChars="0"/>
        <w:jc w:val="left"/>
        <w:rPr>
          <w:rFonts w:ascii="宋体" w:hAnsi="宋体" w:cs="宋体"/>
          <w:b/>
          <w:highlight w:val="none"/>
        </w:rPr>
      </w:pPr>
      <w:bookmarkStart w:id="171" w:name="_Toc401832942"/>
      <w:bookmarkStart w:id="172" w:name="_Toc527913287"/>
      <w:bookmarkStart w:id="173" w:name="_Toc527913172"/>
      <w:bookmarkStart w:id="174" w:name="_Toc280018635"/>
      <w:bookmarkStart w:id="175" w:name="_Toc212889300"/>
      <w:bookmarkStart w:id="176" w:name="_Toc104528847"/>
      <w:bookmarkStart w:id="177" w:name="_Toc116791934"/>
      <w:bookmarkStart w:id="178" w:name="_Toc527913551"/>
      <w:bookmarkStart w:id="179" w:name="_Toc527957543"/>
      <w:bookmarkStart w:id="180" w:name="_Toc527912946"/>
      <w:r>
        <w:rPr>
          <w:rFonts w:hint="eastAsia" w:ascii="宋体" w:hAnsi="宋体" w:cs="宋体"/>
          <w:b/>
          <w:highlight w:val="none"/>
        </w:rPr>
        <w:t>制定《维护报告》</w:t>
      </w:r>
      <w:bookmarkEnd w:id="171"/>
      <w:bookmarkEnd w:id="172"/>
      <w:bookmarkEnd w:id="173"/>
      <w:bookmarkEnd w:id="174"/>
      <w:bookmarkEnd w:id="175"/>
      <w:bookmarkEnd w:id="176"/>
      <w:bookmarkEnd w:id="177"/>
      <w:bookmarkEnd w:id="178"/>
      <w:bookmarkEnd w:id="179"/>
      <w:bookmarkEnd w:id="180"/>
    </w:p>
    <w:p>
      <w:pPr>
        <w:spacing w:before="120" w:after="120"/>
        <w:ind w:firstLine="480"/>
        <w:rPr>
          <w:rFonts w:ascii="宋体" w:hAnsi="宋体" w:cs="宋体"/>
          <w:highlight w:val="none"/>
        </w:rPr>
      </w:pPr>
      <w:r>
        <w:rPr>
          <w:rFonts w:hint="eastAsia" w:ascii="宋体" w:hAnsi="宋体" w:cs="宋体"/>
          <w:highlight w:val="none"/>
        </w:rPr>
        <w:t>维护人员根据《维护合同》中规定的维护内容确定检查内容、检查方法，估计检查所需的时间，如需停机检查，应提前通知客户；维护人员需查询该系统上次检查结果，对曾经出现过故障的设备应重点检查</w:t>
      </w:r>
      <w:bookmarkStart w:id="181" w:name="_Toc104528848"/>
      <w:bookmarkStart w:id="182" w:name="_Toc527913173"/>
      <w:bookmarkStart w:id="183" w:name="_Toc527912947"/>
      <w:bookmarkStart w:id="184" w:name="_Toc527957544"/>
      <w:bookmarkStart w:id="185" w:name="_Toc527913288"/>
      <w:bookmarkStart w:id="186" w:name="_Toc527913552"/>
      <w:r>
        <w:rPr>
          <w:rFonts w:hint="eastAsia" w:ascii="宋体" w:hAnsi="宋体" w:cs="宋体"/>
          <w:highlight w:val="none"/>
        </w:rPr>
        <w:t>。</w:t>
      </w:r>
    </w:p>
    <w:p>
      <w:pPr>
        <w:pStyle w:val="46"/>
        <w:numPr>
          <w:ilvl w:val="0"/>
          <w:numId w:val="23"/>
        </w:numPr>
        <w:spacing w:before="156" w:beforeLines="50" w:after="156" w:afterLines="50"/>
        <w:ind w:left="900" w:firstLineChars="0"/>
        <w:jc w:val="left"/>
        <w:rPr>
          <w:rFonts w:ascii="宋体" w:hAnsi="宋体" w:cs="宋体"/>
          <w:b/>
          <w:highlight w:val="none"/>
        </w:rPr>
      </w:pPr>
      <w:bookmarkStart w:id="187" w:name="_Toc401832943"/>
      <w:bookmarkStart w:id="188" w:name="_Toc212889301"/>
      <w:bookmarkStart w:id="189" w:name="_Toc280018636"/>
      <w:bookmarkStart w:id="190" w:name="_Toc116791935"/>
      <w:r>
        <w:rPr>
          <w:rFonts w:hint="eastAsia" w:ascii="宋体" w:hAnsi="宋体" w:cs="宋体"/>
          <w:b/>
          <w:highlight w:val="none"/>
        </w:rPr>
        <w:t>确定检查时间</w:t>
      </w:r>
      <w:bookmarkEnd w:id="187"/>
      <w:bookmarkEnd w:id="188"/>
      <w:bookmarkEnd w:id="189"/>
      <w:bookmarkEnd w:id="190"/>
    </w:p>
    <w:bookmarkEnd w:id="181"/>
    <w:bookmarkEnd w:id="182"/>
    <w:bookmarkEnd w:id="183"/>
    <w:bookmarkEnd w:id="184"/>
    <w:bookmarkEnd w:id="185"/>
    <w:bookmarkEnd w:id="186"/>
    <w:p>
      <w:pPr>
        <w:spacing w:before="120" w:after="120"/>
        <w:ind w:firstLine="480"/>
        <w:rPr>
          <w:rFonts w:ascii="宋体" w:hAnsi="宋体" w:cs="宋体"/>
          <w:highlight w:val="none"/>
        </w:rPr>
      </w:pPr>
      <w:r>
        <w:rPr>
          <w:rFonts w:hint="eastAsia" w:ascii="宋体" w:hAnsi="宋体" w:cs="宋体"/>
          <w:highlight w:val="none"/>
        </w:rPr>
        <w:t>维护人员应提前将《维护报告》和所需时间用电子邮件形式发送给客户有关负责人，并确定维护检查时间。</w:t>
      </w:r>
    </w:p>
    <w:p>
      <w:pPr>
        <w:pStyle w:val="46"/>
        <w:numPr>
          <w:ilvl w:val="0"/>
          <w:numId w:val="23"/>
        </w:numPr>
        <w:spacing w:before="156" w:beforeLines="50" w:after="156" w:afterLines="50"/>
        <w:ind w:left="900" w:firstLineChars="0"/>
        <w:jc w:val="left"/>
        <w:rPr>
          <w:rFonts w:ascii="宋体" w:hAnsi="宋体" w:cs="宋体"/>
          <w:b/>
          <w:highlight w:val="none"/>
        </w:rPr>
      </w:pPr>
      <w:bookmarkStart w:id="191" w:name="_Toc280018637"/>
      <w:bookmarkStart w:id="192" w:name="_Toc116791936"/>
      <w:bookmarkStart w:id="193" w:name="_Toc401832944"/>
      <w:r>
        <w:rPr>
          <w:rFonts w:hint="eastAsia" w:ascii="宋体" w:hAnsi="宋体" w:cs="宋体"/>
          <w:b/>
          <w:highlight w:val="none"/>
        </w:rPr>
        <w:t>维护检查</w:t>
      </w:r>
      <w:bookmarkEnd w:id="191"/>
      <w:bookmarkEnd w:id="192"/>
      <w:bookmarkEnd w:id="193"/>
    </w:p>
    <w:p>
      <w:pPr>
        <w:spacing w:before="120" w:after="120"/>
        <w:ind w:firstLine="480"/>
        <w:rPr>
          <w:rFonts w:ascii="宋体" w:hAnsi="宋体" w:cs="宋体"/>
          <w:highlight w:val="none"/>
        </w:rPr>
      </w:pPr>
      <w:r>
        <w:rPr>
          <w:rFonts w:hint="eastAsia" w:ascii="宋体" w:hAnsi="宋体" w:cs="宋体"/>
          <w:highlight w:val="none"/>
        </w:rPr>
        <w:t>维护人员在客户有关负责人的协助下按《维护报告》中的检查内容、步骤、方法进行检查和优化，并将结果如实填写到《维护报告》中；如果发现故障，应立即进行故障处理，在故障解决后，按《故障处理流程》补充所需的文档，并提交有关部门；维护完成，应由客户针对巡检人员工作质量、效率和工作态度填写客户意见并签字。</w:t>
      </w:r>
    </w:p>
    <w:p>
      <w:pPr>
        <w:pStyle w:val="2"/>
        <w:keepNext/>
        <w:keepLines/>
        <w:pageBreakBefore/>
        <w:widowControl w:val="0"/>
        <w:kinsoku/>
        <w:wordWrap/>
        <w:overflowPunct/>
        <w:topLinePunct w:val="0"/>
        <w:autoSpaceDE/>
        <w:autoSpaceDN/>
        <w:bidi w:val="0"/>
        <w:adjustRightInd/>
        <w:snapToGrid/>
        <w:ind w:left="482" w:leftChars="0" w:hanging="425" w:firstLineChars="0"/>
        <w:jc w:val="center"/>
        <w:textAlignment w:val="auto"/>
        <w:rPr>
          <w:highlight w:val="none"/>
        </w:rPr>
      </w:pPr>
      <w:bookmarkStart w:id="194" w:name="_Toc5931"/>
      <w:r>
        <w:rPr>
          <w:rFonts w:hint="eastAsia"/>
          <w:highlight w:val="none"/>
        </w:rPr>
        <w:t>项目管理</w:t>
      </w:r>
      <w:bookmarkEnd w:id="194"/>
    </w:p>
    <w:p>
      <w:pPr>
        <w:pStyle w:val="3"/>
        <w:bidi w:val="0"/>
        <w:ind w:left="482" w:leftChars="0" w:hanging="425" w:firstLineChars="0"/>
        <w:rPr>
          <w:highlight w:val="none"/>
        </w:rPr>
      </w:pPr>
      <w:bookmarkStart w:id="195" w:name="_Toc5741"/>
      <w:bookmarkStart w:id="196" w:name="_Toc48513810"/>
      <w:bookmarkStart w:id="197" w:name="_Toc19051"/>
      <w:bookmarkStart w:id="198" w:name="_Toc48513923"/>
      <w:r>
        <w:rPr>
          <w:rFonts w:hint="eastAsia"/>
          <w:highlight w:val="none"/>
        </w:rPr>
        <w:t>项目组织管理</w:t>
      </w:r>
      <w:bookmarkEnd w:id="195"/>
    </w:p>
    <w:p>
      <w:pPr>
        <w:pStyle w:val="4"/>
        <w:bidi w:val="0"/>
        <w:ind w:left="482" w:leftChars="0" w:hanging="425" w:firstLineChars="0"/>
        <w:rPr>
          <w:highlight w:val="none"/>
        </w:rPr>
      </w:pPr>
      <w:bookmarkStart w:id="199" w:name="_Toc14613"/>
      <w:r>
        <w:rPr>
          <w:rFonts w:hint="eastAsia"/>
          <w:highlight w:val="none"/>
        </w:rPr>
        <w:t>管理机构</w:t>
      </w:r>
      <w:bookmarkEnd w:id="199"/>
    </w:p>
    <w:p>
      <w:pPr>
        <w:ind w:firstLine="480"/>
        <w:rPr>
          <w:highlight w:val="none"/>
        </w:rPr>
      </w:pPr>
      <w:r>
        <w:rPr>
          <w:rFonts w:hint="eastAsia"/>
          <w:highlight w:val="none"/>
        </w:rPr>
        <w:t>确保本项目的建设的顺利进行并发挥其成效，必须从以下几方面制定项目各项保障措施，具体为：</w:t>
      </w:r>
    </w:p>
    <w:p>
      <w:pPr>
        <w:ind w:firstLine="480"/>
        <w:rPr>
          <w:highlight w:val="none"/>
        </w:rPr>
      </w:pPr>
      <w:r>
        <w:rPr>
          <w:rFonts w:hint="eastAsia"/>
          <w:highlight w:val="none"/>
        </w:rPr>
        <w:t>（一）加强组织领导</w:t>
      </w:r>
    </w:p>
    <w:p>
      <w:pPr>
        <w:ind w:firstLine="480"/>
        <w:rPr>
          <w:highlight w:val="none"/>
        </w:rPr>
      </w:pPr>
      <w:r>
        <w:rPr>
          <w:rFonts w:hint="eastAsia"/>
          <w:highlight w:val="none"/>
        </w:rPr>
        <w:t>成立推进项目建设领导小组，统筹各项建设工作。领导小组下设办公室，负责制定总体规划，协调、指导和推进各子系统的建设，并建立科学的审议和评估机制。</w:t>
      </w:r>
    </w:p>
    <w:p>
      <w:pPr>
        <w:ind w:firstLine="480"/>
        <w:rPr>
          <w:highlight w:val="none"/>
        </w:rPr>
      </w:pPr>
      <w:r>
        <w:rPr>
          <w:rFonts w:hint="eastAsia"/>
          <w:highlight w:val="none"/>
        </w:rPr>
        <w:t>（二）严格质量控制</w:t>
      </w:r>
    </w:p>
    <w:p>
      <w:pPr>
        <w:ind w:firstLine="480"/>
        <w:rPr>
          <w:highlight w:val="none"/>
        </w:rPr>
      </w:pPr>
      <w:r>
        <w:rPr>
          <w:rFonts w:hint="eastAsia"/>
          <w:highlight w:val="none"/>
        </w:rPr>
        <w:t>在项目实施过程中，要严格遵循工程监理管理的相关法律法规，优选监理单位，按照监理规范进行项目管理，建立完善的质量管理体系，严格项目质量控制。</w:t>
      </w:r>
    </w:p>
    <w:p>
      <w:pPr>
        <w:ind w:firstLine="480"/>
        <w:rPr>
          <w:highlight w:val="none"/>
        </w:rPr>
      </w:pPr>
      <w:r>
        <w:rPr>
          <w:rFonts w:hint="eastAsia"/>
          <w:highlight w:val="none"/>
        </w:rPr>
        <w:t>（三）健全管理制度</w:t>
      </w:r>
    </w:p>
    <w:p>
      <w:pPr>
        <w:ind w:firstLine="480"/>
        <w:rPr>
          <w:highlight w:val="none"/>
        </w:rPr>
      </w:pPr>
      <w:r>
        <w:rPr>
          <w:rFonts w:hint="eastAsia"/>
          <w:highlight w:val="none"/>
        </w:rPr>
        <w:t>本项目的建设是一个较复杂的系统工程，工作涉及面广、要求高，必须建立健全相应的保障制度。</w:t>
      </w:r>
    </w:p>
    <w:p>
      <w:pPr>
        <w:ind w:firstLine="480"/>
        <w:rPr>
          <w:highlight w:val="none"/>
        </w:rPr>
      </w:pPr>
      <w:r>
        <w:rPr>
          <w:rFonts w:hint="eastAsia" w:ascii="宋体" w:hAnsi="宋体"/>
          <w:highlight w:val="none"/>
        </w:rPr>
        <w:t>(四)</w:t>
      </w:r>
      <w:r>
        <w:rPr>
          <w:rFonts w:hint="eastAsia"/>
          <w:highlight w:val="none"/>
        </w:rPr>
        <w:t>明确项目管理目标</w:t>
      </w:r>
    </w:p>
    <w:p>
      <w:pPr>
        <w:ind w:firstLine="480"/>
        <w:rPr>
          <w:highlight w:val="none"/>
        </w:rPr>
      </w:pPr>
      <w:r>
        <w:rPr>
          <w:rFonts w:hint="eastAsia"/>
          <w:highlight w:val="none"/>
        </w:rPr>
        <w:t>通过实行项目的规范管理，实现对项目的过程控制、质量控制、成本控制和人员控制，最终达到以最低成本按时优质高效完成项目实施，保障用户和承建方双方利益。</w:t>
      </w:r>
    </w:p>
    <w:p>
      <w:pPr>
        <w:pStyle w:val="3"/>
        <w:bidi w:val="0"/>
        <w:ind w:left="482" w:leftChars="0" w:hanging="425" w:firstLineChars="0"/>
        <w:rPr>
          <w:highlight w:val="none"/>
        </w:rPr>
      </w:pPr>
      <w:bookmarkStart w:id="200" w:name="_Toc5509"/>
      <w:r>
        <w:rPr>
          <w:rFonts w:hint="eastAsia"/>
          <w:highlight w:val="none"/>
        </w:rPr>
        <w:t>质量管理</w:t>
      </w:r>
      <w:bookmarkEnd w:id="200"/>
    </w:p>
    <w:p>
      <w:pPr>
        <w:pStyle w:val="4"/>
        <w:bidi w:val="0"/>
        <w:ind w:left="482" w:leftChars="0" w:hanging="425" w:firstLineChars="0"/>
        <w:rPr>
          <w:highlight w:val="none"/>
        </w:rPr>
      </w:pPr>
      <w:bookmarkStart w:id="201" w:name="_Toc495"/>
      <w:r>
        <w:rPr>
          <w:highlight w:val="none"/>
        </w:rPr>
        <w:t>质量管理</w:t>
      </w:r>
      <w:bookmarkEnd w:id="201"/>
    </w:p>
    <w:p>
      <w:pPr>
        <w:ind w:firstLine="480"/>
        <w:rPr>
          <w:highlight w:val="none"/>
        </w:rPr>
      </w:pPr>
      <w:r>
        <w:rPr>
          <w:rFonts w:hint="eastAsia"/>
          <w:highlight w:val="none"/>
        </w:rPr>
        <w:t>建立完善的质量负责制，使每位参与本项目施工的人员都明确自己的质量目标和责任，使工作有的放矢。</w:t>
      </w:r>
    </w:p>
    <w:p>
      <w:pPr>
        <w:pStyle w:val="46"/>
        <w:numPr>
          <w:ilvl w:val="0"/>
          <w:numId w:val="24"/>
        </w:numPr>
        <w:ind w:firstLineChars="0"/>
        <w:rPr>
          <w:highlight w:val="none"/>
        </w:rPr>
      </w:pPr>
      <w:r>
        <w:rPr>
          <w:rFonts w:hint="eastAsia"/>
          <w:highlight w:val="none"/>
        </w:rPr>
        <w:t>质量教育培训制度</w:t>
      </w:r>
    </w:p>
    <w:p>
      <w:pPr>
        <w:ind w:firstLine="480"/>
        <w:rPr>
          <w:highlight w:val="none"/>
        </w:rPr>
      </w:pPr>
      <w:r>
        <w:rPr>
          <w:rFonts w:hint="eastAsia"/>
          <w:highlight w:val="none"/>
        </w:rPr>
        <w:t>对参加工程施工的所有管理人员、技术人员和工人进行质量意识、质量管理知识、专业技术技能和有关业务知识教育，由质量工程师和技术人员负责对施工人员进行培训，合格后持证上岗。</w:t>
      </w:r>
    </w:p>
    <w:p>
      <w:pPr>
        <w:pStyle w:val="46"/>
        <w:numPr>
          <w:ilvl w:val="0"/>
          <w:numId w:val="24"/>
        </w:numPr>
        <w:ind w:firstLineChars="0"/>
        <w:rPr>
          <w:highlight w:val="none"/>
        </w:rPr>
      </w:pPr>
      <w:r>
        <w:rPr>
          <w:rFonts w:hint="eastAsia"/>
          <w:highlight w:val="none"/>
        </w:rPr>
        <w:t>工程质量一票否决制度</w:t>
      </w:r>
    </w:p>
    <w:p>
      <w:pPr>
        <w:ind w:firstLine="480"/>
        <w:rPr>
          <w:highlight w:val="none"/>
        </w:rPr>
      </w:pPr>
      <w:r>
        <w:rPr>
          <w:rFonts w:hint="eastAsia"/>
          <w:highlight w:val="none"/>
        </w:rPr>
        <w:t>施工中坚持进度服从质量的原则，将工程质量一票否决制贯穿于整个施工管理活动中。</w:t>
      </w:r>
    </w:p>
    <w:p>
      <w:pPr>
        <w:pStyle w:val="46"/>
        <w:numPr>
          <w:ilvl w:val="0"/>
          <w:numId w:val="24"/>
        </w:numPr>
        <w:ind w:firstLineChars="0"/>
        <w:rPr>
          <w:highlight w:val="none"/>
        </w:rPr>
      </w:pPr>
      <w:r>
        <w:rPr>
          <w:rFonts w:hint="eastAsia"/>
          <w:highlight w:val="none"/>
        </w:rPr>
        <w:t>测量及技术资料复核制度</w:t>
      </w:r>
    </w:p>
    <w:p>
      <w:pPr>
        <w:ind w:firstLine="480"/>
        <w:rPr>
          <w:highlight w:val="none"/>
        </w:rPr>
      </w:pPr>
      <w:r>
        <w:rPr>
          <w:rFonts w:hint="eastAsia"/>
          <w:highlight w:val="none"/>
        </w:rPr>
        <w:t>工程开工前及施工中认真进行定、复测，对设计、其它专业施工单位所交桩位及测量结果做详细记录，建立台帐并严格按照台帐进行施工。</w:t>
      </w:r>
    </w:p>
    <w:p>
      <w:pPr>
        <w:ind w:firstLine="480"/>
        <w:rPr>
          <w:highlight w:val="none"/>
        </w:rPr>
      </w:pPr>
      <w:r>
        <w:rPr>
          <w:rFonts w:hint="eastAsia"/>
          <w:highlight w:val="none"/>
        </w:rPr>
        <w:t>工程开工及施工过程中对设计图纸、技术交底、工艺标准实行复核签认制度，由各级技术负责人逐级签字，执行人签收。</w:t>
      </w:r>
    </w:p>
    <w:p>
      <w:pPr>
        <w:pStyle w:val="46"/>
        <w:numPr>
          <w:ilvl w:val="0"/>
          <w:numId w:val="24"/>
        </w:numPr>
        <w:ind w:firstLineChars="0"/>
        <w:rPr>
          <w:highlight w:val="none"/>
        </w:rPr>
      </w:pPr>
      <w:r>
        <w:rPr>
          <w:rFonts w:hint="eastAsia"/>
          <w:highlight w:val="none"/>
        </w:rPr>
        <w:t>质量定期、不定期检查及质量分析例会制度</w:t>
      </w:r>
    </w:p>
    <w:p>
      <w:pPr>
        <w:ind w:firstLine="480"/>
        <w:rPr>
          <w:highlight w:val="none"/>
        </w:rPr>
      </w:pPr>
      <w:r>
        <w:rPr>
          <w:rFonts w:hint="eastAsia"/>
          <w:highlight w:val="none"/>
        </w:rPr>
        <w:t>安全质量部门采取定期与不定期相结合的方式，对施工质量进行抽查，关键工序、主要隐蔽工程的重点检查，以及联合检查等，内容包括：工程质量水平及质量评定情况、施工现场操作情况、文明施工及环境保护、原始施工记录、全面质量管理推行情况等。</w:t>
      </w:r>
    </w:p>
    <w:p>
      <w:pPr>
        <w:ind w:firstLine="480"/>
        <w:rPr>
          <w:highlight w:val="none"/>
        </w:rPr>
      </w:pPr>
      <w:r>
        <w:rPr>
          <w:rFonts w:hint="eastAsia"/>
          <w:highlight w:val="none"/>
        </w:rPr>
        <w:t>坚持定期召开质量分析会议制度，根据施工过程中反馈的各类信息进行认真细致的分析、研究、总结，制定针对性的措施；对施工过程中发现的质量隐患，采取措施，限期整改，确保工程质量。</w:t>
      </w:r>
    </w:p>
    <w:p>
      <w:pPr>
        <w:pStyle w:val="46"/>
        <w:numPr>
          <w:ilvl w:val="0"/>
          <w:numId w:val="24"/>
        </w:numPr>
        <w:ind w:firstLineChars="0"/>
        <w:rPr>
          <w:highlight w:val="none"/>
        </w:rPr>
      </w:pPr>
      <w:r>
        <w:rPr>
          <w:rFonts w:hint="eastAsia"/>
          <w:highlight w:val="none"/>
        </w:rPr>
        <w:t>工程质量检测试验制度</w:t>
      </w:r>
    </w:p>
    <w:p>
      <w:pPr>
        <w:ind w:firstLine="480"/>
        <w:rPr>
          <w:highlight w:val="none"/>
        </w:rPr>
      </w:pPr>
      <w:r>
        <w:rPr>
          <w:rFonts w:hint="eastAsia"/>
          <w:highlight w:val="none"/>
        </w:rPr>
        <w:t>严格按照操作规程做好施工过程检测试验及材料、设备的进货检验和试验工作，试验原始记录真实齐全，试验工作完成后，由试验人员填写试验报告，要求报告填写完整，结论明确，最后由试验人、复核人签名，技术负责人签发。</w:t>
      </w:r>
    </w:p>
    <w:p>
      <w:pPr>
        <w:pStyle w:val="46"/>
        <w:numPr>
          <w:ilvl w:val="0"/>
          <w:numId w:val="24"/>
        </w:numPr>
        <w:ind w:firstLineChars="0"/>
        <w:rPr>
          <w:highlight w:val="none"/>
        </w:rPr>
      </w:pPr>
      <w:r>
        <w:rPr>
          <w:rFonts w:hint="eastAsia"/>
          <w:highlight w:val="none"/>
        </w:rPr>
        <w:t>工程质量自检制度</w:t>
      </w:r>
    </w:p>
    <w:p>
      <w:pPr>
        <w:ind w:firstLine="480"/>
        <w:rPr>
          <w:highlight w:val="none"/>
        </w:rPr>
      </w:pPr>
      <w:r>
        <w:rPr>
          <w:rFonts w:hint="eastAsia"/>
          <w:highlight w:val="none"/>
        </w:rPr>
        <w:t>施工作业工班在完成施工工序后进行自检，自检按验收规范和施工作业指导书进行，并予以记录，记录保存在工班。</w:t>
      </w:r>
    </w:p>
    <w:p>
      <w:pPr>
        <w:ind w:firstLine="480"/>
        <w:rPr>
          <w:highlight w:val="none"/>
        </w:rPr>
      </w:pPr>
      <w:r>
        <w:rPr>
          <w:rFonts w:hint="eastAsia"/>
          <w:highlight w:val="none"/>
        </w:rPr>
        <w:t>下一道工序的施工人员对上道工序进行验证，对发现的不合格项目有权要求上道工序施工人员纠正后再进行施工，并记录在工班日志中。</w:t>
      </w:r>
    </w:p>
    <w:p>
      <w:pPr>
        <w:ind w:firstLine="480"/>
        <w:rPr>
          <w:highlight w:val="none"/>
        </w:rPr>
      </w:pPr>
      <w:r>
        <w:rPr>
          <w:rFonts w:hint="eastAsia"/>
          <w:highlight w:val="none"/>
        </w:rPr>
        <w:t>工程完成后，各施工工班在自检合格的基础上，按国标规定和设计文件要求，由专职人员进行检查，并保存检查记录。</w:t>
      </w:r>
    </w:p>
    <w:p>
      <w:pPr>
        <w:ind w:firstLine="480"/>
        <w:rPr>
          <w:highlight w:val="none"/>
        </w:rPr>
      </w:pPr>
      <w:r>
        <w:rPr>
          <w:rFonts w:hint="eastAsia"/>
          <w:highlight w:val="none"/>
        </w:rPr>
        <w:t>安全质量部门采取定期与不定期相结合的方式，以随工检查，关键工序、特殊过程、隐蔽工程重点检查以及联合检查等形式，对工程质量进行全面检查。</w:t>
      </w:r>
    </w:p>
    <w:p>
      <w:pPr>
        <w:pStyle w:val="46"/>
        <w:numPr>
          <w:ilvl w:val="0"/>
          <w:numId w:val="24"/>
        </w:numPr>
        <w:ind w:firstLineChars="0"/>
        <w:rPr>
          <w:highlight w:val="none"/>
        </w:rPr>
      </w:pPr>
      <w:r>
        <w:rPr>
          <w:rFonts w:hint="eastAsia"/>
          <w:highlight w:val="none"/>
        </w:rPr>
        <w:t>工程质量事故申报制度</w:t>
      </w:r>
    </w:p>
    <w:p>
      <w:pPr>
        <w:ind w:firstLine="480"/>
        <w:rPr>
          <w:highlight w:val="none"/>
        </w:rPr>
      </w:pPr>
      <w:r>
        <w:rPr>
          <w:rFonts w:hint="eastAsia"/>
          <w:highlight w:val="none"/>
        </w:rPr>
        <w:t>在施工过程中杜绝质量事故的发生。一旦出现质量事故，按照质量事故处理办法逐级上报。对一般质量事故由项目技术负责组织施工技术、质量管理等有关人员进行评审，提出处置方案，并及时组织实施，质量管理人员进行跟踪验证并记录。对大、重大质量事故，项目经理组织有关部门负责人对质量事故进行分析，并按有关规定逐级上报，认真执行上级主管部门的处置方案，对质量事故责任有关人员按照单位有关奖惩办法进行处罚。同时对质量事故总结教训，制定措施。</w:t>
      </w:r>
    </w:p>
    <w:p>
      <w:pPr>
        <w:pStyle w:val="4"/>
        <w:bidi w:val="0"/>
        <w:ind w:left="482" w:leftChars="0" w:hanging="425" w:firstLineChars="0"/>
        <w:rPr>
          <w:highlight w:val="none"/>
        </w:rPr>
      </w:pPr>
      <w:bookmarkStart w:id="202" w:name="_Toc2735"/>
      <w:r>
        <w:rPr>
          <w:highlight w:val="none"/>
        </w:rPr>
        <w:t>质量保证</w:t>
      </w:r>
      <w:bookmarkEnd w:id="202"/>
    </w:p>
    <w:p>
      <w:pPr>
        <w:pStyle w:val="46"/>
        <w:numPr>
          <w:ilvl w:val="0"/>
          <w:numId w:val="25"/>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选用国家优质材料设备，所采购的设备材料品牌符合招标文件规定，技术规格等参数必须满足设计要求。</w:t>
      </w:r>
    </w:p>
    <w:p>
      <w:pPr>
        <w:pStyle w:val="46"/>
        <w:numPr>
          <w:ilvl w:val="0"/>
          <w:numId w:val="25"/>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设备材料采购前需报业主、监理审批，材料样品在自审合格的基础上再呈报。</w:t>
      </w:r>
    </w:p>
    <w:p>
      <w:pPr>
        <w:pStyle w:val="46"/>
        <w:numPr>
          <w:ilvl w:val="0"/>
          <w:numId w:val="25"/>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设备材料进场必须执行有关标准、施工及验收规范或业主合同的规定进行检验、试验。</w:t>
      </w:r>
    </w:p>
    <w:p>
      <w:pPr>
        <w:pStyle w:val="46"/>
        <w:numPr>
          <w:ilvl w:val="0"/>
          <w:numId w:val="25"/>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未经检验、试验或检验、试验不合格的物资不投入施工现场使用。入库的材料要按规定分类堆放整齐、标识清晰、正确。</w:t>
      </w:r>
    </w:p>
    <w:p>
      <w:pPr>
        <w:pStyle w:val="46"/>
        <w:numPr>
          <w:ilvl w:val="0"/>
          <w:numId w:val="25"/>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从事材料搬运的工作人员，必须具备自我防护意识，掌握装卸技能，熟知安全注意事项。搬运工作必须选择配备符合运输、装卸要求且运行可靠的各种搬运设备、运输工具，防止因产品搬运不当产生变形、变质、损坏。</w:t>
      </w:r>
    </w:p>
    <w:p>
      <w:pPr>
        <w:pStyle w:val="46"/>
        <w:numPr>
          <w:ilvl w:val="0"/>
          <w:numId w:val="25"/>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发现不合格品后，专业工程师立即组织相关人员分析原因，制订纠正和预防措施，防止同类问题发生。针对常见的质量通病，制定相应的预防措施，保证材料质量。</w:t>
      </w:r>
    </w:p>
    <w:p>
      <w:pPr>
        <w:pStyle w:val="46"/>
        <w:numPr>
          <w:ilvl w:val="0"/>
          <w:numId w:val="25"/>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确保性能先进、工况完好的施工机具、检测设备投入到本项目的施工之中。施工期间，定期对施工机械进行检查，随时掌握现场机械的使用情况及机械的状态情况。确保机械处于最佳的运行状态，为施工生产服务，并使现场的机械得到充分的利用。</w:t>
      </w:r>
    </w:p>
    <w:p>
      <w:pPr>
        <w:pStyle w:val="46"/>
        <w:numPr>
          <w:ilvl w:val="0"/>
          <w:numId w:val="25"/>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建立健全施工机械管理制度、岗位责任制及各种机械操作规程，对现场的机械做到定人定机管理，对每个人的职责予以明确，保证现场机械的管理处于受控状态。</w:t>
      </w:r>
    </w:p>
    <w:p>
      <w:pPr>
        <w:pStyle w:val="3"/>
        <w:bidi w:val="0"/>
        <w:ind w:left="482" w:leftChars="0" w:hanging="425" w:firstLineChars="0"/>
        <w:rPr>
          <w:highlight w:val="none"/>
        </w:rPr>
      </w:pPr>
      <w:bookmarkStart w:id="203" w:name="_Toc19683"/>
      <w:r>
        <w:rPr>
          <w:rFonts w:hint="eastAsia"/>
          <w:highlight w:val="none"/>
        </w:rPr>
        <w:t>工期及进度管理</w:t>
      </w:r>
      <w:bookmarkEnd w:id="203"/>
    </w:p>
    <w:p>
      <w:pPr>
        <w:pStyle w:val="4"/>
        <w:bidi w:val="0"/>
        <w:ind w:left="482" w:leftChars="0" w:hanging="425" w:firstLineChars="0"/>
        <w:rPr>
          <w:highlight w:val="none"/>
        </w:rPr>
      </w:pPr>
      <w:bookmarkStart w:id="204" w:name="_Toc23965"/>
      <w:r>
        <w:rPr>
          <w:highlight w:val="none"/>
        </w:rPr>
        <w:t>建设工期</w:t>
      </w:r>
      <w:bookmarkEnd w:id="204"/>
    </w:p>
    <w:p>
      <w:pPr>
        <w:spacing w:before="163" w:after="163"/>
        <w:ind w:firstLine="480"/>
        <w:rPr>
          <w:rFonts w:ascii="宋体" w:hAnsi="宋体" w:cs="宋体"/>
          <w:highlight w:val="none"/>
        </w:rPr>
      </w:pPr>
      <w:r>
        <w:rPr>
          <w:rFonts w:hint="eastAsia" w:ascii="宋体" w:hAnsi="宋体" w:cs="宋体"/>
          <w:highlight w:val="none"/>
        </w:rPr>
        <w:t>本项目</w:t>
      </w:r>
      <w:r>
        <w:rPr>
          <w:rFonts w:ascii="宋体" w:hAnsi="宋体" w:cs="宋体"/>
          <w:highlight w:val="none"/>
        </w:rPr>
        <w:t>计划建设周期</w:t>
      </w:r>
      <w:r>
        <w:rPr>
          <w:rFonts w:hint="eastAsia" w:ascii="宋体" w:hAnsi="宋体" w:cs="宋体"/>
          <w:highlight w:val="none"/>
        </w:rPr>
        <w:t>为</w:t>
      </w:r>
      <w:r>
        <w:rPr>
          <w:rFonts w:hint="eastAsia" w:ascii="宋体" w:hAnsi="宋体" w:cs="宋体"/>
          <w:highlight w:val="none"/>
          <w:lang w:val="en-US" w:eastAsia="zh-CN"/>
        </w:rPr>
        <w:t>60</w:t>
      </w:r>
      <w:r>
        <w:rPr>
          <w:rFonts w:hint="eastAsia" w:ascii="宋体" w:hAnsi="宋体" w:cs="宋体"/>
          <w:highlight w:val="none"/>
        </w:rPr>
        <w:t>个</w:t>
      </w:r>
      <w:r>
        <w:rPr>
          <w:rFonts w:hint="eastAsia" w:ascii="宋体" w:hAnsi="宋体" w:cs="宋体"/>
          <w:highlight w:val="none"/>
          <w:lang w:val="en-US" w:eastAsia="zh-CN"/>
        </w:rPr>
        <w:t>工作日</w:t>
      </w:r>
      <w:r>
        <w:rPr>
          <w:rFonts w:hint="eastAsia" w:ascii="宋体" w:hAnsi="宋体" w:cs="宋体"/>
          <w:highlight w:val="none"/>
        </w:rPr>
        <w:t>，</w:t>
      </w:r>
      <w:r>
        <w:rPr>
          <w:rFonts w:ascii="宋体" w:hAnsi="宋体" w:cs="宋体"/>
          <w:highlight w:val="none"/>
        </w:rPr>
        <w:t>项目实施包括项目计划制定、需求调研、</w:t>
      </w:r>
      <w:r>
        <w:rPr>
          <w:rFonts w:hint="eastAsia" w:ascii="宋体" w:hAnsi="宋体" w:cs="宋体"/>
          <w:highlight w:val="none"/>
        </w:rPr>
        <w:t>系统</w:t>
      </w:r>
      <w:r>
        <w:rPr>
          <w:rFonts w:ascii="宋体" w:hAnsi="宋体" w:cs="宋体"/>
          <w:highlight w:val="none"/>
        </w:rPr>
        <w:t>安装调试、</w:t>
      </w:r>
      <w:r>
        <w:rPr>
          <w:rFonts w:hint="eastAsia" w:ascii="宋体" w:hAnsi="宋体" w:cs="宋体"/>
          <w:highlight w:val="none"/>
        </w:rPr>
        <w:t>用户</w:t>
      </w:r>
      <w:r>
        <w:rPr>
          <w:rFonts w:ascii="宋体" w:hAnsi="宋体" w:cs="宋体"/>
          <w:highlight w:val="none"/>
        </w:rPr>
        <w:t>培训</w:t>
      </w:r>
      <w:r>
        <w:rPr>
          <w:rFonts w:hint="eastAsia" w:ascii="宋体" w:hAnsi="宋体" w:cs="宋体"/>
          <w:highlight w:val="none"/>
        </w:rPr>
        <w:t>、</w:t>
      </w:r>
      <w:r>
        <w:rPr>
          <w:rFonts w:ascii="宋体" w:hAnsi="宋体" w:cs="宋体"/>
          <w:highlight w:val="none"/>
        </w:rPr>
        <w:t>系统试运行</w:t>
      </w:r>
      <w:r>
        <w:rPr>
          <w:rFonts w:hint="eastAsia" w:ascii="宋体" w:hAnsi="宋体" w:cs="宋体"/>
          <w:highlight w:val="none"/>
        </w:rPr>
        <w:t>、</w:t>
      </w:r>
      <w:r>
        <w:rPr>
          <w:rFonts w:ascii="宋体" w:hAnsi="宋体" w:cs="宋体"/>
          <w:highlight w:val="none"/>
        </w:rPr>
        <w:t>项目验收6个阶段。</w:t>
      </w:r>
    </w:p>
    <w:p>
      <w:pPr>
        <w:spacing w:before="163" w:after="163"/>
        <w:ind w:firstLine="480"/>
        <w:rPr>
          <w:rFonts w:ascii="宋体" w:hAnsi="宋体" w:cs="宋体"/>
          <w:highlight w:val="none"/>
        </w:rPr>
      </w:pPr>
      <w:r>
        <w:rPr>
          <w:rFonts w:ascii="宋体" w:hAnsi="宋体" w:cs="宋体"/>
          <w:highlight w:val="none"/>
        </w:rPr>
        <w:t>项目建设进度计划是各个阶段活动的时间体现。编制项目建设进度计划是根据项目实施策略各阶段开展程序，对各个阶段做出时间上的安排。其作用在于确定各个阶段的具体实现目标及内容。其目的是保证工程项目按期交付使用，为项目建设充分发挥效益和降低成本提供重要的前提条件。</w:t>
      </w:r>
    </w:p>
    <w:p>
      <w:pPr>
        <w:spacing w:before="163" w:after="163"/>
        <w:ind w:firstLine="480"/>
        <w:rPr>
          <w:rFonts w:ascii="宋体" w:hAnsi="宋体" w:cs="宋体"/>
          <w:highlight w:val="none"/>
        </w:rPr>
      </w:pPr>
      <w:r>
        <w:rPr>
          <w:rFonts w:ascii="宋体" w:hAnsi="宋体" w:cs="宋体"/>
          <w:highlight w:val="none"/>
        </w:rPr>
        <w:t>本项目建设进度计划的编制按照统一计划、综合平衡、结合实际、留有余地的原则进行。</w:t>
      </w:r>
      <w:r>
        <w:rPr>
          <w:rFonts w:hint="eastAsia" w:ascii="宋体" w:hAnsi="宋体" w:cs="宋体"/>
          <w:highlight w:val="none"/>
        </w:rPr>
        <w:t>具体</w:t>
      </w:r>
      <w:r>
        <w:rPr>
          <w:rFonts w:ascii="宋体" w:hAnsi="宋体" w:cs="宋体"/>
          <w:highlight w:val="none"/>
        </w:rPr>
        <w:t>施工进度计划如下表：</w:t>
      </w:r>
    </w:p>
    <w:tbl>
      <w:tblPr>
        <w:tblStyle w:val="29"/>
        <w:tblW w:w="6909"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4045"/>
        <w:gridCol w:w="1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ind w:firstLine="0" w:firstLineChars="0"/>
              <w:jc w:val="center"/>
              <w:rPr>
                <w:b/>
                <w:bCs/>
                <w:highlight w:val="none"/>
              </w:rPr>
            </w:pPr>
            <w:r>
              <w:rPr>
                <w:rFonts w:hint="eastAsia"/>
                <w:b/>
                <w:bCs/>
                <w:highlight w:val="none"/>
              </w:rPr>
              <w:t>序号</w:t>
            </w:r>
          </w:p>
        </w:tc>
        <w:tc>
          <w:tcPr>
            <w:tcW w:w="4045" w:type="dxa"/>
            <w:tcBorders>
              <w:left w:val="single" w:color="auto" w:sz="4" w:space="0"/>
            </w:tcBorders>
            <w:shd w:val="clear" w:color="auto" w:fill="auto"/>
            <w:noWrap/>
            <w:vAlign w:val="center"/>
          </w:tcPr>
          <w:p>
            <w:pPr>
              <w:ind w:firstLine="0" w:firstLineChars="0"/>
              <w:jc w:val="center"/>
              <w:rPr>
                <w:b/>
                <w:bCs/>
                <w:highlight w:val="none"/>
              </w:rPr>
            </w:pPr>
            <w:r>
              <w:rPr>
                <w:rFonts w:hint="eastAsia"/>
                <w:b/>
                <w:bCs/>
                <w:highlight w:val="none"/>
              </w:rPr>
              <w:t>施工阶段</w:t>
            </w:r>
          </w:p>
        </w:tc>
        <w:tc>
          <w:tcPr>
            <w:tcW w:w="1948" w:type="dxa"/>
            <w:shd w:val="clear" w:color="auto" w:fill="auto"/>
            <w:noWrap/>
            <w:vAlign w:val="center"/>
          </w:tcPr>
          <w:p>
            <w:pPr>
              <w:ind w:firstLine="0" w:firstLineChars="0"/>
              <w:jc w:val="center"/>
              <w:rPr>
                <w:b/>
                <w:bCs/>
                <w:highlight w:val="none"/>
              </w:rPr>
            </w:pPr>
            <w:r>
              <w:rPr>
                <w:rFonts w:hint="eastAsia"/>
                <w:b/>
                <w:bCs/>
                <w:highlight w:val="none"/>
              </w:rPr>
              <w:t>施工期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ind w:firstLine="0" w:firstLineChars="0"/>
              <w:jc w:val="distribute"/>
              <w:rPr>
                <w:highlight w:val="none"/>
              </w:rPr>
            </w:pPr>
            <w:r>
              <w:rPr>
                <w:rFonts w:hint="eastAsia"/>
                <w:highlight w:val="none"/>
              </w:rPr>
              <w:t>1</w:t>
            </w:r>
          </w:p>
        </w:tc>
        <w:tc>
          <w:tcPr>
            <w:tcW w:w="4045" w:type="dxa"/>
            <w:tcBorders>
              <w:left w:val="single" w:color="auto" w:sz="4" w:space="0"/>
            </w:tcBorders>
            <w:shd w:val="clear" w:color="auto" w:fill="auto"/>
            <w:noWrap/>
            <w:vAlign w:val="center"/>
          </w:tcPr>
          <w:p>
            <w:pPr>
              <w:ind w:firstLine="0" w:firstLineChars="0"/>
              <w:rPr>
                <w:highlight w:val="none"/>
              </w:rPr>
            </w:pPr>
            <w:r>
              <w:rPr>
                <w:rFonts w:hint="eastAsia"/>
                <w:highlight w:val="none"/>
              </w:rPr>
              <w:t>计划制定和组建施工团队</w:t>
            </w:r>
          </w:p>
        </w:tc>
        <w:tc>
          <w:tcPr>
            <w:tcW w:w="1948" w:type="dxa"/>
            <w:shd w:val="clear" w:color="auto" w:fill="auto"/>
            <w:noWrap/>
            <w:vAlign w:val="center"/>
          </w:tcPr>
          <w:p>
            <w:pPr>
              <w:ind w:firstLine="0" w:firstLineChars="0"/>
              <w:jc w:val="center"/>
              <w:rPr>
                <w:highlight w:val="none"/>
              </w:rPr>
            </w:pPr>
            <w:r>
              <w:rPr>
                <w:highlight w:val="none"/>
              </w:rPr>
              <w:t>2</w:t>
            </w:r>
            <w:r>
              <w:rPr>
                <w:rFonts w:hint="eastAsia"/>
                <w:highlight w:val="none"/>
              </w:rPr>
              <w:t>个</w:t>
            </w:r>
            <w:r>
              <w:rPr>
                <w:rFonts w:hint="eastAsia" w:ascii="宋体" w:hAnsi="宋体" w:cs="宋体"/>
                <w:highlight w:val="none"/>
                <w:lang w:val="en-US" w:eastAsia="zh-CN"/>
              </w:rPr>
              <w:t>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ind w:firstLine="0" w:firstLineChars="0"/>
              <w:jc w:val="distribute"/>
              <w:rPr>
                <w:highlight w:val="none"/>
              </w:rPr>
            </w:pPr>
            <w:r>
              <w:rPr>
                <w:rFonts w:hint="eastAsia"/>
                <w:highlight w:val="none"/>
              </w:rPr>
              <w:t>2</w:t>
            </w:r>
          </w:p>
        </w:tc>
        <w:tc>
          <w:tcPr>
            <w:tcW w:w="4045" w:type="dxa"/>
            <w:tcBorders>
              <w:left w:val="single" w:color="auto" w:sz="4" w:space="0"/>
            </w:tcBorders>
            <w:shd w:val="clear" w:color="auto" w:fill="auto"/>
            <w:noWrap/>
            <w:vAlign w:val="center"/>
          </w:tcPr>
          <w:p>
            <w:pPr>
              <w:ind w:firstLine="0" w:firstLineChars="0"/>
              <w:rPr>
                <w:highlight w:val="none"/>
              </w:rPr>
            </w:pPr>
            <w:r>
              <w:rPr>
                <w:rFonts w:hint="eastAsia"/>
                <w:highlight w:val="none"/>
              </w:rPr>
              <w:t>需求调研和设备采购</w:t>
            </w:r>
          </w:p>
        </w:tc>
        <w:tc>
          <w:tcPr>
            <w:tcW w:w="1948" w:type="dxa"/>
            <w:shd w:val="clear" w:color="auto" w:fill="auto"/>
            <w:noWrap/>
            <w:vAlign w:val="center"/>
          </w:tcPr>
          <w:p>
            <w:pPr>
              <w:ind w:firstLine="0" w:firstLineChars="0"/>
              <w:jc w:val="center"/>
              <w:rPr>
                <w:highlight w:val="none"/>
              </w:rPr>
            </w:pPr>
            <w:r>
              <w:rPr>
                <w:highlight w:val="none"/>
              </w:rPr>
              <w:t>3</w:t>
            </w:r>
            <w:r>
              <w:rPr>
                <w:rFonts w:hint="eastAsia"/>
                <w:highlight w:val="none"/>
              </w:rPr>
              <w:t>个</w:t>
            </w:r>
            <w:r>
              <w:rPr>
                <w:rFonts w:hint="eastAsia" w:ascii="宋体" w:hAnsi="宋体" w:cs="宋体"/>
                <w:highlight w:val="none"/>
                <w:lang w:val="en-US" w:eastAsia="zh-CN"/>
              </w:rPr>
              <w:t>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ind w:firstLine="0" w:firstLineChars="0"/>
              <w:jc w:val="distribute"/>
              <w:rPr>
                <w:highlight w:val="none"/>
              </w:rPr>
            </w:pPr>
            <w:r>
              <w:rPr>
                <w:rFonts w:hint="eastAsia"/>
                <w:highlight w:val="none"/>
              </w:rPr>
              <w:t>3</w:t>
            </w:r>
          </w:p>
        </w:tc>
        <w:tc>
          <w:tcPr>
            <w:tcW w:w="4045" w:type="dxa"/>
            <w:tcBorders>
              <w:left w:val="single" w:color="auto" w:sz="4" w:space="0"/>
            </w:tcBorders>
            <w:shd w:val="clear" w:color="auto" w:fill="auto"/>
            <w:noWrap/>
            <w:vAlign w:val="center"/>
          </w:tcPr>
          <w:p>
            <w:pPr>
              <w:ind w:firstLine="0" w:firstLineChars="0"/>
              <w:rPr>
                <w:highlight w:val="none"/>
              </w:rPr>
            </w:pPr>
            <w:r>
              <w:rPr>
                <w:rFonts w:hint="eastAsia"/>
                <w:highlight w:val="none"/>
                <w:lang w:val="en-US" w:eastAsia="zh-CN"/>
              </w:rPr>
              <w:t>装修、平台迁移、</w:t>
            </w:r>
            <w:r>
              <w:rPr>
                <w:rFonts w:hint="eastAsia"/>
                <w:highlight w:val="none"/>
              </w:rPr>
              <w:t>系统安装调试</w:t>
            </w:r>
          </w:p>
        </w:tc>
        <w:tc>
          <w:tcPr>
            <w:tcW w:w="1948" w:type="dxa"/>
            <w:shd w:val="clear" w:color="auto" w:fill="auto"/>
            <w:noWrap/>
            <w:vAlign w:val="center"/>
          </w:tcPr>
          <w:p>
            <w:pPr>
              <w:ind w:firstLine="0" w:firstLineChars="0"/>
              <w:jc w:val="center"/>
              <w:rPr>
                <w:highlight w:val="none"/>
              </w:rPr>
            </w:pPr>
            <w:r>
              <w:rPr>
                <w:rFonts w:hint="eastAsia"/>
                <w:highlight w:val="none"/>
                <w:lang w:val="en-US" w:eastAsia="zh-CN"/>
              </w:rPr>
              <w:t>45</w:t>
            </w:r>
            <w:r>
              <w:rPr>
                <w:rFonts w:hint="eastAsia"/>
                <w:highlight w:val="none"/>
              </w:rPr>
              <w:t>个</w:t>
            </w:r>
            <w:r>
              <w:rPr>
                <w:rFonts w:hint="eastAsia" w:ascii="宋体" w:hAnsi="宋体" w:cs="宋体"/>
                <w:highlight w:val="none"/>
                <w:lang w:val="en-US" w:eastAsia="zh-CN"/>
              </w:rPr>
              <w:t>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ind w:firstLine="0" w:firstLineChars="0"/>
              <w:jc w:val="distribute"/>
              <w:rPr>
                <w:highlight w:val="none"/>
              </w:rPr>
            </w:pPr>
            <w:r>
              <w:rPr>
                <w:rFonts w:hint="eastAsia"/>
                <w:highlight w:val="none"/>
              </w:rPr>
              <w:t>4</w:t>
            </w:r>
          </w:p>
        </w:tc>
        <w:tc>
          <w:tcPr>
            <w:tcW w:w="4045" w:type="dxa"/>
            <w:tcBorders>
              <w:left w:val="single" w:color="auto" w:sz="4" w:space="0"/>
            </w:tcBorders>
            <w:shd w:val="clear" w:color="auto" w:fill="auto"/>
            <w:noWrap/>
            <w:vAlign w:val="center"/>
          </w:tcPr>
          <w:p>
            <w:pPr>
              <w:ind w:firstLine="0" w:firstLineChars="0"/>
              <w:rPr>
                <w:highlight w:val="none"/>
              </w:rPr>
            </w:pPr>
            <w:r>
              <w:rPr>
                <w:rFonts w:hint="eastAsia"/>
                <w:highlight w:val="none"/>
              </w:rPr>
              <w:t>用户培训</w:t>
            </w:r>
          </w:p>
        </w:tc>
        <w:tc>
          <w:tcPr>
            <w:tcW w:w="1948" w:type="dxa"/>
            <w:shd w:val="clear" w:color="auto" w:fill="auto"/>
            <w:noWrap/>
            <w:vAlign w:val="center"/>
          </w:tcPr>
          <w:p>
            <w:pPr>
              <w:ind w:firstLine="0" w:firstLineChars="0"/>
              <w:jc w:val="center"/>
              <w:rPr>
                <w:highlight w:val="none"/>
              </w:rPr>
            </w:pPr>
            <w:r>
              <w:rPr>
                <w:highlight w:val="none"/>
              </w:rPr>
              <w:t>2</w:t>
            </w:r>
            <w:r>
              <w:rPr>
                <w:rFonts w:hint="eastAsia"/>
                <w:highlight w:val="none"/>
              </w:rPr>
              <w:t>个</w:t>
            </w:r>
            <w:r>
              <w:rPr>
                <w:rFonts w:hint="eastAsia" w:ascii="宋体" w:hAnsi="宋体" w:cs="宋体"/>
                <w:highlight w:val="none"/>
                <w:lang w:val="en-US" w:eastAsia="zh-CN"/>
              </w:rPr>
              <w:t>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ind w:firstLine="0" w:firstLineChars="0"/>
              <w:jc w:val="distribute"/>
              <w:rPr>
                <w:highlight w:val="none"/>
              </w:rPr>
            </w:pPr>
            <w:r>
              <w:rPr>
                <w:rFonts w:hint="eastAsia"/>
                <w:highlight w:val="none"/>
              </w:rPr>
              <w:t>5</w:t>
            </w:r>
          </w:p>
        </w:tc>
        <w:tc>
          <w:tcPr>
            <w:tcW w:w="4045" w:type="dxa"/>
            <w:tcBorders>
              <w:left w:val="single" w:color="auto" w:sz="4" w:space="0"/>
            </w:tcBorders>
            <w:shd w:val="clear" w:color="auto" w:fill="auto"/>
            <w:noWrap/>
            <w:vAlign w:val="center"/>
          </w:tcPr>
          <w:p>
            <w:pPr>
              <w:ind w:firstLine="0" w:firstLineChars="0"/>
              <w:rPr>
                <w:highlight w:val="none"/>
              </w:rPr>
            </w:pPr>
            <w:r>
              <w:rPr>
                <w:rFonts w:hint="eastAsia"/>
                <w:highlight w:val="none"/>
              </w:rPr>
              <w:t>系统试运行</w:t>
            </w:r>
          </w:p>
        </w:tc>
        <w:tc>
          <w:tcPr>
            <w:tcW w:w="1948" w:type="dxa"/>
            <w:shd w:val="clear" w:color="auto" w:fill="auto"/>
            <w:noWrap/>
            <w:vAlign w:val="center"/>
          </w:tcPr>
          <w:p>
            <w:pPr>
              <w:ind w:firstLine="0" w:firstLineChars="0"/>
              <w:jc w:val="center"/>
              <w:rPr>
                <w:highlight w:val="none"/>
              </w:rPr>
            </w:pPr>
            <w:r>
              <w:rPr>
                <w:highlight w:val="none"/>
              </w:rPr>
              <w:t>7</w:t>
            </w:r>
            <w:r>
              <w:rPr>
                <w:rFonts w:hint="eastAsia"/>
                <w:highlight w:val="none"/>
              </w:rPr>
              <w:t>个</w:t>
            </w:r>
            <w:r>
              <w:rPr>
                <w:rFonts w:hint="eastAsia" w:ascii="宋体" w:hAnsi="宋体" w:cs="宋体"/>
                <w:highlight w:val="none"/>
                <w:lang w:val="en-US" w:eastAsia="zh-CN"/>
              </w:rPr>
              <w:t>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ind w:firstLine="0" w:firstLineChars="0"/>
              <w:jc w:val="distribute"/>
              <w:rPr>
                <w:highlight w:val="none"/>
              </w:rPr>
            </w:pPr>
            <w:r>
              <w:rPr>
                <w:rFonts w:hint="eastAsia"/>
                <w:highlight w:val="none"/>
              </w:rPr>
              <w:t>6</w:t>
            </w:r>
          </w:p>
        </w:tc>
        <w:tc>
          <w:tcPr>
            <w:tcW w:w="4045" w:type="dxa"/>
            <w:tcBorders>
              <w:left w:val="single" w:color="auto" w:sz="4" w:space="0"/>
            </w:tcBorders>
            <w:shd w:val="clear" w:color="auto" w:fill="auto"/>
            <w:noWrap/>
            <w:vAlign w:val="center"/>
          </w:tcPr>
          <w:p>
            <w:pPr>
              <w:ind w:firstLine="0" w:firstLineChars="0"/>
              <w:rPr>
                <w:highlight w:val="none"/>
              </w:rPr>
            </w:pPr>
            <w:r>
              <w:rPr>
                <w:rFonts w:hint="eastAsia"/>
                <w:highlight w:val="none"/>
              </w:rPr>
              <w:t>项目验收</w:t>
            </w:r>
          </w:p>
        </w:tc>
        <w:tc>
          <w:tcPr>
            <w:tcW w:w="1948" w:type="dxa"/>
            <w:shd w:val="clear" w:color="auto" w:fill="auto"/>
            <w:noWrap/>
            <w:vAlign w:val="center"/>
          </w:tcPr>
          <w:p>
            <w:pPr>
              <w:ind w:firstLine="0" w:firstLineChars="0"/>
              <w:jc w:val="center"/>
              <w:rPr>
                <w:highlight w:val="none"/>
              </w:rPr>
            </w:pPr>
            <w:r>
              <w:rPr>
                <w:highlight w:val="none"/>
              </w:rPr>
              <w:t>1</w:t>
            </w:r>
            <w:r>
              <w:rPr>
                <w:rFonts w:hint="eastAsia"/>
                <w:highlight w:val="none"/>
              </w:rPr>
              <w:t>个</w:t>
            </w:r>
            <w:r>
              <w:rPr>
                <w:rFonts w:hint="eastAsia" w:ascii="宋体" w:hAnsi="宋体" w:cs="宋体"/>
                <w:highlight w:val="none"/>
                <w:lang w:val="en-US" w:eastAsia="zh-CN"/>
              </w:rPr>
              <w:t>工作日</w:t>
            </w:r>
          </w:p>
        </w:tc>
      </w:tr>
    </w:tbl>
    <w:p>
      <w:pPr>
        <w:pStyle w:val="4"/>
        <w:bidi w:val="0"/>
        <w:ind w:left="482" w:leftChars="0" w:hanging="425" w:firstLineChars="0"/>
        <w:rPr>
          <w:highlight w:val="none"/>
        </w:rPr>
      </w:pPr>
      <w:bookmarkStart w:id="205" w:name="_Toc8030"/>
      <w:r>
        <w:rPr>
          <w:highlight w:val="none"/>
        </w:rPr>
        <w:t>进度管理</w:t>
      </w:r>
      <w:bookmarkEnd w:id="205"/>
    </w:p>
    <w:p>
      <w:pPr>
        <w:ind w:firstLine="480"/>
        <w:rPr>
          <w:b w:val="0"/>
          <w:bCs w:val="0"/>
          <w:highlight w:val="none"/>
        </w:rPr>
      </w:pPr>
      <w:r>
        <w:rPr>
          <w:rFonts w:hint="eastAsia"/>
          <w:b w:val="0"/>
          <w:bCs w:val="0"/>
          <w:highlight w:val="none"/>
        </w:rPr>
        <w:t>为了保障项目进度顺利，施工方必须从工程施工准备、人员、材料、机具、施工组织、施工方法等各方面制定相应工期保证技术措施，保证工期目标的实现。</w:t>
      </w:r>
    </w:p>
    <w:p>
      <w:pPr>
        <w:pStyle w:val="46"/>
        <w:numPr>
          <w:ilvl w:val="3"/>
          <w:numId w:val="26"/>
        </w:numPr>
        <w:ind w:left="426" w:firstLine="0" w:firstLineChars="0"/>
        <w:rPr>
          <w:b w:val="0"/>
          <w:bCs w:val="0"/>
          <w:highlight w:val="none"/>
        </w:rPr>
      </w:pPr>
      <w:r>
        <w:rPr>
          <w:rFonts w:hint="eastAsia"/>
          <w:b w:val="0"/>
          <w:bCs w:val="0"/>
          <w:highlight w:val="none"/>
        </w:rPr>
        <w:t>做好施工准备，保证按期开工</w:t>
      </w:r>
    </w:p>
    <w:p>
      <w:pPr>
        <w:ind w:firstLine="480"/>
        <w:rPr>
          <w:b w:val="0"/>
          <w:bCs w:val="0"/>
          <w:highlight w:val="none"/>
        </w:rPr>
      </w:pPr>
      <w:r>
        <w:rPr>
          <w:rFonts w:hint="eastAsia"/>
          <w:b w:val="0"/>
          <w:bCs w:val="0"/>
          <w:highlight w:val="none"/>
        </w:rPr>
        <w:t>施工准备工作的好坏是工程能否按期开工的关键，也是开工后能否顺利和不间断施工的关键。本工程施工准备按 “高效、务实”的原则，开工前由项目部领导和各职能部门的负责人按职能职责，做好施工准备工作。</w:t>
      </w:r>
    </w:p>
    <w:p>
      <w:pPr>
        <w:ind w:firstLine="480"/>
        <w:rPr>
          <w:b w:val="0"/>
          <w:bCs w:val="0"/>
          <w:highlight w:val="none"/>
        </w:rPr>
      </w:pPr>
      <w:r>
        <w:rPr>
          <w:rFonts w:hint="eastAsia"/>
          <w:b w:val="0"/>
          <w:bCs w:val="0"/>
          <w:highlight w:val="none"/>
        </w:rPr>
        <w:t>开工前技术部门认真学习系统方案，了解设备性能，审核设计图纸，组织相关人员对施工现场进行调查，与有关单位签定配合协议，制定切实可行的技术工艺标准，同时做好全体参建人员的上岗培训工作。做好各项施工准备工作，为开工后的施工顺利进行打好基础。</w:t>
      </w:r>
    </w:p>
    <w:p>
      <w:pPr>
        <w:pStyle w:val="46"/>
        <w:numPr>
          <w:ilvl w:val="3"/>
          <w:numId w:val="26"/>
        </w:numPr>
        <w:ind w:left="426" w:firstLine="0" w:firstLineChars="0"/>
        <w:rPr>
          <w:b w:val="0"/>
          <w:bCs w:val="0"/>
          <w:highlight w:val="none"/>
        </w:rPr>
      </w:pPr>
      <w:r>
        <w:rPr>
          <w:rFonts w:hint="eastAsia"/>
          <w:b w:val="0"/>
          <w:bCs w:val="0"/>
          <w:highlight w:val="none"/>
        </w:rPr>
        <w:t>优化施工资源配置</w:t>
      </w:r>
    </w:p>
    <w:p>
      <w:pPr>
        <w:ind w:firstLine="480"/>
        <w:rPr>
          <w:b w:val="0"/>
          <w:bCs w:val="0"/>
          <w:highlight w:val="none"/>
        </w:rPr>
      </w:pPr>
      <w:r>
        <w:rPr>
          <w:rFonts w:hint="eastAsia"/>
          <w:b w:val="0"/>
          <w:bCs w:val="0"/>
          <w:highlight w:val="none"/>
        </w:rPr>
        <w:t>选拔一批有实践经验、作风过硬、技术业务精通的技术人员、管理人员组成一个精干高效的项目管理层。</w:t>
      </w:r>
    </w:p>
    <w:p>
      <w:pPr>
        <w:ind w:firstLine="480"/>
        <w:rPr>
          <w:b w:val="0"/>
          <w:bCs w:val="0"/>
          <w:highlight w:val="none"/>
        </w:rPr>
      </w:pPr>
      <w:r>
        <w:rPr>
          <w:rFonts w:hint="eastAsia"/>
          <w:b w:val="0"/>
          <w:bCs w:val="0"/>
          <w:highlight w:val="none"/>
        </w:rPr>
        <w:t>保证有技术熟练、工作扎实、吃苦耐劳、善打硬仗和满足工期需求的作业层人员，并根据工程进度的要求，实行有序的动态管理，确保施工第一要素的质量和数量。</w:t>
      </w:r>
    </w:p>
    <w:p>
      <w:pPr>
        <w:ind w:firstLine="480"/>
        <w:rPr>
          <w:b w:val="0"/>
          <w:bCs w:val="0"/>
          <w:highlight w:val="none"/>
        </w:rPr>
      </w:pPr>
      <w:r>
        <w:rPr>
          <w:rFonts w:hint="eastAsia"/>
          <w:b w:val="0"/>
          <w:bCs w:val="0"/>
          <w:highlight w:val="none"/>
        </w:rPr>
        <w:t>选择机况好、性能稳定、经过定期检测的施工机具、试验设备和仪器仪表投入本工程，实行动态管理，保证工程施工进度需要。</w:t>
      </w:r>
    </w:p>
    <w:p>
      <w:pPr>
        <w:pStyle w:val="46"/>
        <w:numPr>
          <w:ilvl w:val="3"/>
          <w:numId w:val="26"/>
        </w:numPr>
        <w:ind w:left="426" w:firstLine="0" w:firstLineChars="0"/>
        <w:rPr>
          <w:b w:val="0"/>
          <w:bCs w:val="0"/>
          <w:highlight w:val="none"/>
        </w:rPr>
      </w:pPr>
      <w:r>
        <w:rPr>
          <w:rFonts w:hint="eastAsia"/>
          <w:b w:val="0"/>
          <w:bCs w:val="0"/>
          <w:highlight w:val="none"/>
        </w:rPr>
        <w:t>实行目标管理，严格网络计划控制</w:t>
      </w:r>
    </w:p>
    <w:p>
      <w:pPr>
        <w:ind w:firstLine="480"/>
        <w:rPr>
          <w:b w:val="0"/>
          <w:bCs w:val="0"/>
          <w:highlight w:val="none"/>
        </w:rPr>
      </w:pPr>
      <w:r>
        <w:rPr>
          <w:rFonts w:hint="eastAsia"/>
          <w:b w:val="0"/>
          <w:bCs w:val="0"/>
          <w:highlight w:val="none"/>
        </w:rPr>
        <w:t>根据业主对工期的要求和施组目标网络计划，进行工程项目的合理安排，分解工期到各分项工程；编制月、旬、周作业计划，将工期目标横向分解到各部门，纵向分解到各班组、个人；建立考核体系，落实目标责任制，按施组规划进行各阶段的检查落实，并与奖罚挂钩，充分调动广大干部职工积极性，保证工期目标的实现。</w:t>
      </w:r>
    </w:p>
    <w:p>
      <w:pPr>
        <w:ind w:firstLine="480"/>
        <w:rPr>
          <w:b w:val="0"/>
          <w:bCs w:val="0"/>
          <w:highlight w:val="none"/>
        </w:rPr>
      </w:pPr>
      <w:r>
        <w:rPr>
          <w:rFonts w:hint="eastAsia"/>
          <w:b w:val="0"/>
          <w:bCs w:val="0"/>
          <w:highlight w:val="none"/>
        </w:rPr>
        <w:t>按照系统工程管理方法，施工过程应用工程网络计划对工期进行有效的控制。建立健全工程建设的周、旬、月汇报和调度制度，形成项目部领导、职能部门、作业班组三级计划管理体系；强化组织协调，对工程进度进行动态管理，及时制定调整优化的施工方案。严格控制关键工期的施工进度，维护工程计划的严肃性、准确性。</w:t>
      </w:r>
    </w:p>
    <w:p>
      <w:pPr>
        <w:pStyle w:val="46"/>
        <w:numPr>
          <w:ilvl w:val="3"/>
          <w:numId w:val="26"/>
        </w:numPr>
        <w:ind w:left="426" w:firstLine="0" w:firstLineChars="0"/>
        <w:rPr>
          <w:b w:val="0"/>
          <w:bCs w:val="0"/>
          <w:highlight w:val="none"/>
        </w:rPr>
      </w:pPr>
      <w:r>
        <w:rPr>
          <w:rFonts w:hint="eastAsia"/>
          <w:b w:val="0"/>
          <w:bCs w:val="0"/>
          <w:highlight w:val="none"/>
        </w:rPr>
        <w:t>做好物资供应，保证工程需要</w:t>
      </w:r>
    </w:p>
    <w:p>
      <w:pPr>
        <w:ind w:firstLine="480"/>
        <w:rPr>
          <w:b w:val="0"/>
          <w:bCs w:val="0"/>
          <w:highlight w:val="none"/>
        </w:rPr>
      </w:pPr>
      <w:r>
        <w:rPr>
          <w:rFonts w:hint="eastAsia"/>
          <w:b w:val="0"/>
          <w:bCs w:val="0"/>
          <w:highlight w:val="none"/>
        </w:rPr>
        <w:t>根据施工进度安排制定材料、设备的供应计划。项目部物资部门对于自购材料及时上报选定厂家的有关资料和样品，经业主和监理同意后，签订供货合同，保证物资按计划供应，满足开工及正常施工的需要。</w:t>
      </w:r>
    </w:p>
    <w:p>
      <w:pPr>
        <w:ind w:firstLine="480"/>
        <w:rPr>
          <w:b w:val="0"/>
          <w:bCs w:val="0"/>
          <w:highlight w:val="none"/>
        </w:rPr>
      </w:pPr>
      <w:r>
        <w:rPr>
          <w:rFonts w:hint="eastAsia"/>
          <w:b w:val="0"/>
          <w:bCs w:val="0"/>
          <w:highlight w:val="none"/>
        </w:rPr>
        <w:t>做好料库建设，及时接纳到货物资并进行检测、试验，保证以合格的材料满足施工需要。</w:t>
      </w:r>
    </w:p>
    <w:p>
      <w:pPr>
        <w:ind w:firstLine="480"/>
        <w:rPr>
          <w:b w:val="0"/>
          <w:bCs w:val="0"/>
          <w:highlight w:val="none"/>
        </w:rPr>
      </w:pPr>
      <w:r>
        <w:rPr>
          <w:rFonts w:hint="eastAsia"/>
          <w:b w:val="0"/>
          <w:bCs w:val="0"/>
          <w:highlight w:val="none"/>
        </w:rPr>
        <w:t>项目部安排专职物资人员负责与供货商的联系，随时掌握物资的到达时间，必要时派专人驻厂落实，保证按时到达，不影响施工生产。</w:t>
      </w:r>
    </w:p>
    <w:p>
      <w:pPr>
        <w:ind w:firstLine="480"/>
        <w:rPr>
          <w:b w:val="0"/>
          <w:bCs w:val="0"/>
          <w:highlight w:val="none"/>
        </w:rPr>
      </w:pPr>
      <w:r>
        <w:rPr>
          <w:rFonts w:hint="eastAsia"/>
          <w:b w:val="0"/>
          <w:bCs w:val="0"/>
          <w:highlight w:val="none"/>
        </w:rPr>
        <w:t>项目部技术、物资部门密切配合，根据施工进度及时修正物资供应计划，保证材料、设备优质、足量，满足施工生产。</w:t>
      </w:r>
    </w:p>
    <w:p>
      <w:pPr>
        <w:pStyle w:val="46"/>
        <w:numPr>
          <w:ilvl w:val="3"/>
          <w:numId w:val="26"/>
        </w:numPr>
        <w:ind w:left="426" w:firstLine="0" w:firstLineChars="0"/>
        <w:rPr>
          <w:b w:val="0"/>
          <w:bCs w:val="0"/>
          <w:highlight w:val="none"/>
        </w:rPr>
      </w:pPr>
      <w:r>
        <w:rPr>
          <w:rFonts w:hint="eastAsia"/>
          <w:b w:val="0"/>
          <w:bCs w:val="0"/>
          <w:highlight w:val="none"/>
        </w:rPr>
        <w:t>优化施组设计</w:t>
      </w:r>
    </w:p>
    <w:p>
      <w:pPr>
        <w:ind w:firstLine="480"/>
        <w:rPr>
          <w:b w:val="0"/>
          <w:bCs w:val="0"/>
          <w:highlight w:val="none"/>
        </w:rPr>
      </w:pPr>
      <w:r>
        <w:rPr>
          <w:rFonts w:hint="eastAsia"/>
          <w:b w:val="0"/>
          <w:bCs w:val="0"/>
          <w:highlight w:val="none"/>
        </w:rPr>
        <w:t>在施工中，根据施工现场条件的变化不断优化施组，加大平行作业力度；处理好工序之间的施工衔接，确保施工的连续性；加大协调力度，通过进场联系单、作业计划书等及时与各专业进行沟通，减少交叉施工干扰，避免不必要的窝工和返工；推行标准化作业方式，通过操作程序上的确定和规范，减少作业过程中无为的作业工序和步骤。</w:t>
      </w:r>
    </w:p>
    <w:p>
      <w:pPr>
        <w:pStyle w:val="46"/>
        <w:numPr>
          <w:ilvl w:val="3"/>
          <w:numId w:val="26"/>
        </w:numPr>
        <w:ind w:left="426" w:firstLine="0" w:firstLineChars="0"/>
        <w:rPr>
          <w:b w:val="0"/>
          <w:bCs w:val="0"/>
          <w:highlight w:val="none"/>
        </w:rPr>
      </w:pPr>
      <w:r>
        <w:rPr>
          <w:rFonts w:hint="eastAsia"/>
          <w:b w:val="0"/>
          <w:bCs w:val="0"/>
          <w:highlight w:val="none"/>
        </w:rPr>
        <w:t>配备专用机具，提高施工效率</w:t>
      </w:r>
    </w:p>
    <w:p>
      <w:pPr>
        <w:ind w:firstLine="480"/>
        <w:rPr>
          <w:b w:val="0"/>
          <w:bCs w:val="0"/>
          <w:highlight w:val="none"/>
        </w:rPr>
      </w:pPr>
      <w:r>
        <w:rPr>
          <w:rFonts w:hint="eastAsia"/>
          <w:b w:val="0"/>
          <w:bCs w:val="0"/>
          <w:highlight w:val="none"/>
        </w:rPr>
        <w:t>开展技术革新和合理化建议活动，开展科研攻关，推广应用新技术、新工艺、新材料、新设备；利用在类似工程施工过程当中的经验，制作适应通信工程不同作业环境的施工机械，并做技术与性能上的改进和完善。</w:t>
      </w:r>
    </w:p>
    <w:p>
      <w:pPr>
        <w:pStyle w:val="46"/>
        <w:numPr>
          <w:ilvl w:val="3"/>
          <w:numId w:val="26"/>
        </w:numPr>
        <w:ind w:left="426" w:firstLine="0" w:firstLineChars="0"/>
        <w:rPr>
          <w:b w:val="0"/>
          <w:bCs w:val="0"/>
          <w:highlight w:val="none"/>
        </w:rPr>
      </w:pPr>
      <w:r>
        <w:rPr>
          <w:rFonts w:hint="eastAsia"/>
          <w:b w:val="0"/>
          <w:bCs w:val="0"/>
          <w:highlight w:val="none"/>
        </w:rPr>
        <w:t>做好施工质量控制，以质量保工期</w:t>
      </w:r>
    </w:p>
    <w:p>
      <w:pPr>
        <w:ind w:firstLine="480"/>
        <w:rPr>
          <w:b w:val="0"/>
          <w:bCs w:val="0"/>
          <w:highlight w:val="none"/>
        </w:rPr>
      </w:pPr>
      <w:r>
        <w:rPr>
          <w:rFonts w:hint="eastAsia"/>
          <w:b w:val="0"/>
          <w:bCs w:val="0"/>
          <w:highlight w:val="none"/>
        </w:rPr>
        <w:t>按照质量体系进行施工管理，采取质量预控措施，确保施工质量一次达标，从根本上消灭因操作不当而造成的返工、停工，影响工程顺利进行的现象。</w:t>
      </w:r>
    </w:p>
    <w:p>
      <w:pPr>
        <w:ind w:firstLine="480"/>
        <w:rPr>
          <w:b w:val="0"/>
          <w:bCs w:val="0"/>
          <w:highlight w:val="none"/>
        </w:rPr>
      </w:pPr>
      <w:r>
        <w:rPr>
          <w:rFonts w:hint="eastAsia"/>
          <w:b w:val="0"/>
          <w:bCs w:val="0"/>
          <w:highlight w:val="none"/>
        </w:rPr>
        <w:t xml:space="preserve">制定质量检查计划，做到施工与质量检查同步进行，对检查出现的质量问题及时整改，缩短验收时间，达到完工的同时即达到优良的目的。 </w:t>
      </w:r>
    </w:p>
    <w:p>
      <w:pPr>
        <w:ind w:firstLine="480"/>
        <w:rPr>
          <w:b w:val="0"/>
          <w:bCs w:val="0"/>
          <w:highlight w:val="none"/>
        </w:rPr>
      </w:pPr>
      <w:r>
        <w:rPr>
          <w:rFonts w:hint="eastAsia"/>
          <w:b w:val="0"/>
          <w:bCs w:val="0"/>
          <w:highlight w:val="none"/>
        </w:rPr>
        <w:t>加强施工机械和工具的日常检查、保养和维修工作，使其始终处于完好状态，避免因施工机具出现故障而影响施工或造成质量不合格耽误工期。</w:t>
      </w:r>
    </w:p>
    <w:p>
      <w:pPr>
        <w:pStyle w:val="46"/>
        <w:numPr>
          <w:ilvl w:val="3"/>
          <w:numId w:val="26"/>
        </w:numPr>
        <w:ind w:left="426" w:firstLine="0" w:firstLineChars="0"/>
        <w:rPr>
          <w:b w:val="0"/>
          <w:bCs w:val="0"/>
          <w:highlight w:val="none"/>
        </w:rPr>
      </w:pPr>
      <w:r>
        <w:rPr>
          <w:rFonts w:hint="eastAsia"/>
          <w:b w:val="0"/>
          <w:bCs w:val="0"/>
          <w:highlight w:val="none"/>
        </w:rPr>
        <w:t>做好施工协调配合，保证施工顺利进行</w:t>
      </w:r>
    </w:p>
    <w:p>
      <w:pPr>
        <w:ind w:firstLine="480"/>
        <w:rPr>
          <w:b w:val="0"/>
          <w:bCs w:val="0"/>
          <w:highlight w:val="none"/>
        </w:rPr>
      </w:pPr>
      <w:r>
        <w:rPr>
          <w:rFonts w:hint="eastAsia"/>
          <w:b w:val="0"/>
          <w:bCs w:val="0"/>
          <w:highlight w:val="none"/>
        </w:rPr>
        <w:t>施工中坚决服从业主的管理、协调、组织、指挥，保证施工顺利进行，保证工期目标。</w:t>
      </w:r>
    </w:p>
    <w:p>
      <w:pPr>
        <w:pStyle w:val="46"/>
        <w:numPr>
          <w:ilvl w:val="3"/>
          <w:numId w:val="26"/>
        </w:numPr>
        <w:ind w:left="426" w:firstLine="0" w:firstLineChars="0"/>
        <w:rPr>
          <w:b w:val="0"/>
          <w:bCs w:val="0"/>
          <w:highlight w:val="none"/>
        </w:rPr>
      </w:pPr>
      <w:r>
        <w:rPr>
          <w:rFonts w:hint="eastAsia"/>
          <w:b w:val="0"/>
          <w:bCs w:val="0"/>
          <w:highlight w:val="none"/>
        </w:rPr>
        <w:t>保证工期的其它措施</w:t>
      </w:r>
    </w:p>
    <w:p>
      <w:pPr>
        <w:ind w:firstLine="480"/>
        <w:rPr>
          <w:b w:val="0"/>
          <w:bCs w:val="0"/>
          <w:highlight w:val="none"/>
        </w:rPr>
      </w:pPr>
      <w:r>
        <w:rPr>
          <w:rFonts w:hint="eastAsia"/>
          <w:b w:val="0"/>
          <w:bCs w:val="0"/>
          <w:highlight w:val="none"/>
        </w:rPr>
        <w:t>施工过程中业主若对工期进行调整，如材料供应不及时或其它原因引起的本工程施工进度滞后情况，项目部将采取具有针对性的措施，重新进行生产要素配置，加大劳动力的投入，调整工班的人员组成和工班数量，采取多段划分，加大平行作业的力度；及时编制工程赶工计划，根据工程进度情况，对工程的任务和资源进行调整，加强资源配置，加大机械化施工力度，提高效率；及时调整作业方法，推行连续作业（倒班）、平行交叉施工，使工期控制在目标范围内，保证满足业主要求。</w:t>
      </w:r>
    </w:p>
    <w:p>
      <w:pPr>
        <w:pStyle w:val="3"/>
        <w:bidi w:val="0"/>
        <w:ind w:left="482" w:leftChars="0" w:hanging="425" w:firstLineChars="0"/>
        <w:rPr>
          <w:highlight w:val="none"/>
        </w:rPr>
      </w:pPr>
      <w:bookmarkStart w:id="206" w:name="_Toc20605"/>
      <w:r>
        <w:rPr>
          <w:rFonts w:hint="eastAsia"/>
          <w:highlight w:val="none"/>
        </w:rPr>
        <w:t>安全管理</w:t>
      </w:r>
      <w:bookmarkEnd w:id="206"/>
    </w:p>
    <w:p>
      <w:pPr>
        <w:ind w:firstLine="480"/>
        <w:rPr>
          <w:b w:val="0"/>
          <w:bCs w:val="0"/>
          <w:highlight w:val="none"/>
        </w:rPr>
      </w:pPr>
      <w:r>
        <w:rPr>
          <w:rFonts w:hint="eastAsia"/>
          <w:b w:val="0"/>
          <w:bCs w:val="0"/>
          <w:highlight w:val="none"/>
        </w:rPr>
        <w:t xml:space="preserve"> “安全第一，预防为主”、“安全为了生产，生产必须安全”、“安全生产，人人有责”的安全生产方针，是所有施工单位都应该遵循的施工管理原则。根据本工程特点和专业施工要求，针对本工程施工制定如下安全措施。</w:t>
      </w:r>
    </w:p>
    <w:p>
      <w:pPr>
        <w:pStyle w:val="46"/>
        <w:numPr>
          <w:ilvl w:val="0"/>
          <w:numId w:val="27"/>
        </w:numPr>
        <w:ind w:firstLineChars="0"/>
        <w:rPr>
          <w:b w:val="0"/>
          <w:bCs w:val="0"/>
          <w:highlight w:val="none"/>
        </w:rPr>
      </w:pPr>
      <w:r>
        <w:rPr>
          <w:rFonts w:hint="eastAsia"/>
          <w:b w:val="0"/>
          <w:bCs w:val="0"/>
          <w:highlight w:val="none"/>
        </w:rPr>
        <w:t>安全保证体系</w:t>
      </w:r>
    </w:p>
    <w:p>
      <w:pPr>
        <w:ind w:firstLine="480"/>
        <w:rPr>
          <w:b w:val="0"/>
          <w:bCs w:val="0"/>
          <w:highlight w:val="none"/>
        </w:rPr>
      </w:pPr>
      <w:r>
        <w:rPr>
          <w:rFonts w:hint="eastAsia"/>
          <w:b w:val="0"/>
          <w:bCs w:val="0"/>
          <w:highlight w:val="none"/>
        </w:rPr>
        <w:t>本工程施工中，建立以项目经理为首的安全保证体系，确保施工生产自始至终在有安全保证的环境下有序进行，用安全生产制度约束施工人员的行为；把业务精湛、事业心强、考核合格的专业人员，充实到各层安全岗位，规定各部门和安全管理人员的职责，保证这些人员有职有权，充分发挥其监督检查作用，实施超前控制，把事故消灭在萌芽之中。项目部安全保证专职机构负责施工全过程的安全生产监督检查工作。对工程每道工序的作业环境、作业方法和安全防护措施进行监督和检查，做到安全工作有组织、有制度、部门和人员有职责，层层监督落实，保证实现安全</w:t>
      </w:r>
    </w:p>
    <w:p>
      <w:pPr>
        <w:pStyle w:val="46"/>
        <w:numPr>
          <w:ilvl w:val="0"/>
          <w:numId w:val="27"/>
        </w:numPr>
        <w:ind w:firstLineChars="0"/>
        <w:rPr>
          <w:b w:val="0"/>
          <w:bCs w:val="0"/>
          <w:highlight w:val="none"/>
        </w:rPr>
      </w:pPr>
      <w:r>
        <w:rPr>
          <w:rFonts w:hint="eastAsia"/>
          <w:b w:val="0"/>
          <w:bCs w:val="0"/>
          <w:highlight w:val="none"/>
        </w:rPr>
        <w:t>安全生产保证制度</w:t>
      </w:r>
    </w:p>
    <w:p>
      <w:pPr>
        <w:ind w:firstLine="480"/>
        <w:rPr>
          <w:b w:val="0"/>
          <w:bCs w:val="0"/>
          <w:highlight w:val="none"/>
        </w:rPr>
      </w:pPr>
      <w:r>
        <w:rPr>
          <w:rFonts w:hint="eastAsia"/>
          <w:b w:val="0"/>
          <w:bCs w:val="0"/>
          <w:highlight w:val="none"/>
        </w:rPr>
        <w:t>坚持落实各项安全生产保证制度使安全生产工作制度化，在施工中做到时时、处处有章可循，用安全生产保证制度来预防事故的发生。</w:t>
      </w:r>
    </w:p>
    <w:p>
      <w:pPr>
        <w:pStyle w:val="46"/>
        <w:numPr>
          <w:ilvl w:val="0"/>
          <w:numId w:val="27"/>
        </w:numPr>
        <w:ind w:firstLineChars="0"/>
        <w:rPr>
          <w:b w:val="0"/>
          <w:bCs w:val="0"/>
          <w:highlight w:val="none"/>
        </w:rPr>
      </w:pPr>
      <w:r>
        <w:rPr>
          <w:rFonts w:hint="eastAsia"/>
          <w:b w:val="0"/>
          <w:bCs w:val="0"/>
          <w:highlight w:val="none"/>
        </w:rPr>
        <w:t>安全教育培训制度</w:t>
      </w:r>
    </w:p>
    <w:p>
      <w:pPr>
        <w:ind w:firstLine="480"/>
        <w:rPr>
          <w:b w:val="0"/>
          <w:bCs w:val="0"/>
          <w:highlight w:val="none"/>
        </w:rPr>
      </w:pPr>
      <w:r>
        <w:rPr>
          <w:rFonts w:hint="eastAsia"/>
          <w:b w:val="0"/>
          <w:bCs w:val="0"/>
          <w:highlight w:val="none"/>
        </w:rPr>
        <w:t>在上岗前组织施工人员学习国家、有关部委和业主发布的有关施工技术安全规则，对施工人员进行安全技术培训，对参加教育培训的人员进行考核，只有考试合格者，才能持证上岗。在施工中通过标语、板报、安全警示牌、安全手册等各种安全教育活动形式，通过班前交底、班中检查、班后讲评等各种安全控制手段，提高施工人员的安全意识、安全操作技能和遵章守制的自觉性，消除人为的不安全因素。</w:t>
      </w:r>
    </w:p>
    <w:p>
      <w:pPr>
        <w:ind w:firstLine="480"/>
        <w:rPr>
          <w:b w:val="0"/>
          <w:bCs w:val="0"/>
          <w:highlight w:val="none"/>
        </w:rPr>
      </w:pPr>
      <w:r>
        <w:rPr>
          <w:rFonts w:hint="eastAsia"/>
          <w:b w:val="0"/>
          <w:bCs w:val="0"/>
          <w:highlight w:val="none"/>
        </w:rPr>
        <w:t>编制安全防护手册，做到人手一册，并进行定期和不定期的检查考核，做到时时看、处处用。</w:t>
      </w:r>
    </w:p>
    <w:p>
      <w:pPr>
        <w:ind w:firstLine="480"/>
        <w:rPr>
          <w:b w:val="0"/>
          <w:bCs w:val="0"/>
          <w:highlight w:val="none"/>
        </w:rPr>
      </w:pPr>
      <w:r>
        <w:rPr>
          <w:rFonts w:hint="eastAsia"/>
          <w:b w:val="0"/>
          <w:bCs w:val="0"/>
          <w:highlight w:val="none"/>
        </w:rPr>
        <w:t>安全防护手册主要内容包括：施工安全生产制度说明和注意事项；信号与告警知识；高空、隧道内作业安全；劳动保护用品的使用；起重设备的使用；运输机械的使用和汽车驾驶；施工机械和电动机具的使用；安全用电；焊接作业安全；意外事故和火灾的救护程序；防洪和防气象灾害措施等。</w:t>
      </w:r>
    </w:p>
    <w:p>
      <w:pPr>
        <w:pStyle w:val="46"/>
        <w:numPr>
          <w:ilvl w:val="0"/>
          <w:numId w:val="27"/>
        </w:numPr>
        <w:ind w:firstLineChars="0"/>
        <w:rPr>
          <w:b w:val="0"/>
          <w:bCs w:val="0"/>
          <w:highlight w:val="none"/>
        </w:rPr>
      </w:pPr>
      <w:r>
        <w:rPr>
          <w:rFonts w:hint="eastAsia"/>
          <w:b w:val="0"/>
          <w:bCs w:val="0"/>
          <w:highlight w:val="none"/>
        </w:rPr>
        <w:t>安全生产技术交底制度</w:t>
      </w:r>
    </w:p>
    <w:p>
      <w:pPr>
        <w:ind w:firstLine="480"/>
        <w:rPr>
          <w:b w:val="0"/>
          <w:bCs w:val="0"/>
          <w:highlight w:val="none"/>
        </w:rPr>
      </w:pPr>
      <w:r>
        <w:rPr>
          <w:rFonts w:hint="eastAsia"/>
          <w:b w:val="0"/>
          <w:bCs w:val="0"/>
          <w:highlight w:val="none"/>
        </w:rPr>
        <w:t>结合工程特点，施工技术部门制定针对性强、可操作、易检查的安全技术规程、操作细则，组织进行安全生产技术交底，预防事故发生。</w:t>
      </w:r>
    </w:p>
    <w:p>
      <w:pPr>
        <w:pStyle w:val="46"/>
        <w:numPr>
          <w:ilvl w:val="0"/>
          <w:numId w:val="27"/>
        </w:numPr>
        <w:ind w:firstLineChars="0"/>
        <w:rPr>
          <w:b w:val="0"/>
          <w:bCs w:val="0"/>
          <w:highlight w:val="none"/>
        </w:rPr>
      </w:pPr>
      <w:r>
        <w:rPr>
          <w:rFonts w:hint="eastAsia"/>
          <w:b w:val="0"/>
          <w:bCs w:val="0"/>
          <w:highlight w:val="none"/>
        </w:rPr>
        <w:t>安全生产检查制度</w:t>
      </w:r>
    </w:p>
    <w:p>
      <w:pPr>
        <w:ind w:firstLine="480"/>
        <w:rPr>
          <w:b w:val="0"/>
          <w:bCs w:val="0"/>
          <w:highlight w:val="none"/>
        </w:rPr>
      </w:pPr>
      <w:r>
        <w:rPr>
          <w:rFonts w:hint="eastAsia"/>
          <w:b w:val="0"/>
          <w:bCs w:val="0"/>
          <w:highlight w:val="none"/>
        </w:rPr>
        <w:t>通过定期、不定期、抽查三种安全检查方式，检查安全生产保证体系的工作情况，安全生产制度的执行情况，安全措施的落实情况，消除事故隐患。项目部每月一次，由项目经理组织定期安全大检查。作业负责人和安检人员经常深入工地，及时纠正违章作业，消灭不安全因素。</w:t>
      </w:r>
    </w:p>
    <w:p>
      <w:pPr>
        <w:pStyle w:val="46"/>
        <w:numPr>
          <w:ilvl w:val="0"/>
          <w:numId w:val="27"/>
        </w:numPr>
        <w:ind w:firstLineChars="0"/>
        <w:rPr>
          <w:b w:val="0"/>
          <w:bCs w:val="0"/>
          <w:highlight w:val="none"/>
        </w:rPr>
      </w:pPr>
      <w:r>
        <w:rPr>
          <w:rFonts w:hint="eastAsia"/>
          <w:b w:val="0"/>
          <w:bCs w:val="0"/>
          <w:highlight w:val="none"/>
        </w:rPr>
        <w:t>安全生产会议制度</w:t>
      </w:r>
    </w:p>
    <w:p>
      <w:pPr>
        <w:ind w:firstLine="480"/>
        <w:rPr>
          <w:b w:val="0"/>
          <w:bCs w:val="0"/>
          <w:highlight w:val="none"/>
        </w:rPr>
      </w:pPr>
      <w:r>
        <w:rPr>
          <w:rFonts w:hint="eastAsia"/>
          <w:b w:val="0"/>
          <w:bCs w:val="0"/>
          <w:highlight w:val="none"/>
        </w:rPr>
        <w:t xml:space="preserve">在施工的全过程中坚持班前讲安全、班中查安全、班后评安全。项目部定期、不定期召开安全生产研讨会，安全保证领导组全体成员和有关管理人员、作业班长和安全员参加，对安全作业情况进行分析、总结，对有关问题定出对策并限期解决。 </w:t>
      </w:r>
    </w:p>
    <w:p>
      <w:pPr>
        <w:pStyle w:val="46"/>
        <w:numPr>
          <w:ilvl w:val="0"/>
          <w:numId w:val="27"/>
        </w:numPr>
        <w:ind w:firstLineChars="0"/>
        <w:rPr>
          <w:b w:val="0"/>
          <w:bCs w:val="0"/>
          <w:highlight w:val="none"/>
        </w:rPr>
      </w:pPr>
      <w:r>
        <w:rPr>
          <w:rFonts w:hint="eastAsia"/>
          <w:b w:val="0"/>
          <w:bCs w:val="0"/>
          <w:highlight w:val="none"/>
        </w:rPr>
        <w:t>实行生产安全一票否决制</w:t>
      </w:r>
    </w:p>
    <w:p>
      <w:pPr>
        <w:ind w:firstLine="480"/>
        <w:rPr>
          <w:b w:val="0"/>
          <w:bCs w:val="0"/>
          <w:highlight w:val="none"/>
        </w:rPr>
      </w:pPr>
      <w:r>
        <w:rPr>
          <w:rFonts w:hint="eastAsia"/>
          <w:b w:val="0"/>
          <w:bCs w:val="0"/>
          <w:highlight w:val="none"/>
        </w:rPr>
        <w:t>项目部和各作业班在施工中严格执行业主有关安全生产的各种管理办法和规定，定期对生产班组进行考核，将安全生产与班组、个人的经济收入挂钩，实行生产安全一票否决制，提高全员的安全生产意识。</w:t>
      </w:r>
    </w:p>
    <w:p>
      <w:pPr>
        <w:pStyle w:val="46"/>
        <w:numPr>
          <w:ilvl w:val="0"/>
          <w:numId w:val="27"/>
        </w:numPr>
        <w:ind w:firstLineChars="0"/>
        <w:rPr>
          <w:b w:val="0"/>
          <w:bCs w:val="0"/>
          <w:highlight w:val="none"/>
        </w:rPr>
      </w:pPr>
      <w:r>
        <w:rPr>
          <w:rFonts w:hint="eastAsia"/>
          <w:b w:val="0"/>
          <w:bCs w:val="0"/>
          <w:highlight w:val="none"/>
        </w:rPr>
        <w:t>劳动保护制度</w:t>
      </w:r>
    </w:p>
    <w:p>
      <w:pPr>
        <w:ind w:firstLine="480"/>
        <w:rPr>
          <w:b w:val="0"/>
          <w:bCs w:val="0"/>
          <w:highlight w:val="none"/>
        </w:rPr>
      </w:pPr>
      <w:r>
        <w:rPr>
          <w:rFonts w:hint="eastAsia"/>
          <w:b w:val="0"/>
          <w:bCs w:val="0"/>
          <w:highlight w:val="none"/>
        </w:rPr>
        <w:t>贯彻国家、有关部委和业主有关法规、要求，加强劳动保护工作。根据施工现场的环境和气候特点，制定相应的劳动保护用品采购计划，主要劳保用品包括：安全帽、水鞋、雨衣、工作服、手套、手灯、安全带、护耳等。物资部门及时采购并发放给现场作业人员。安全质量与环保监察室对劳动用品的检测、使用情况进行跟踪检查，发现违章者令其改正，并给予批评和处罚。</w:t>
      </w:r>
    </w:p>
    <w:p>
      <w:pPr>
        <w:pStyle w:val="46"/>
        <w:numPr>
          <w:ilvl w:val="0"/>
          <w:numId w:val="27"/>
        </w:numPr>
        <w:ind w:firstLineChars="0"/>
        <w:rPr>
          <w:b w:val="0"/>
          <w:bCs w:val="0"/>
          <w:highlight w:val="none"/>
        </w:rPr>
      </w:pPr>
      <w:r>
        <w:rPr>
          <w:rFonts w:hint="eastAsia"/>
          <w:b w:val="0"/>
          <w:bCs w:val="0"/>
          <w:highlight w:val="none"/>
        </w:rPr>
        <w:t>安全防护制度</w:t>
      </w:r>
    </w:p>
    <w:p>
      <w:pPr>
        <w:ind w:firstLine="480"/>
        <w:rPr>
          <w:b w:val="0"/>
          <w:bCs w:val="0"/>
          <w:highlight w:val="none"/>
        </w:rPr>
      </w:pPr>
      <w:r>
        <w:rPr>
          <w:rFonts w:hint="eastAsia"/>
          <w:b w:val="0"/>
          <w:bCs w:val="0"/>
          <w:highlight w:val="none"/>
        </w:rPr>
        <w:t>在施工现场必要的地点和时间内，设置一切必要的安全标志装置和看守，并对其他专业施工单位设置的安全标志装置予以保护；特殊情况和条件下需要特殊防护时，按设计要求做好防护。防护标志包括：报警标志；危险标志；控制标志；安全标志和警示标志。</w:t>
      </w:r>
    </w:p>
    <w:p>
      <w:pPr>
        <w:pStyle w:val="3"/>
        <w:bidi w:val="0"/>
        <w:ind w:left="482" w:leftChars="0" w:hanging="425" w:firstLineChars="0"/>
        <w:rPr>
          <w:highlight w:val="none"/>
        </w:rPr>
      </w:pPr>
      <w:bookmarkStart w:id="207" w:name="_Toc9062"/>
      <w:r>
        <w:rPr>
          <w:rFonts w:hint="eastAsia"/>
          <w:highlight w:val="none"/>
        </w:rPr>
        <w:t>施工要求</w:t>
      </w:r>
      <w:bookmarkEnd w:id="196"/>
      <w:bookmarkEnd w:id="197"/>
      <w:bookmarkEnd w:id="198"/>
      <w:bookmarkEnd w:id="207"/>
    </w:p>
    <w:p>
      <w:pPr>
        <w:pStyle w:val="46"/>
        <w:numPr>
          <w:ilvl w:val="0"/>
          <w:numId w:val="28"/>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施工前应对所安装的设备外观、型号规格、数量、标志、标签、产品合格证、产地证明、说明书、技术文件资料进行检验，检验设备是否选用厂家原装产品，设备性能是否达到设计要求和国家标准。施工前设备必须24小时通电检查，检查设备的稳定性，并做好设备通电检查记录，发现不合格设备及时更换。</w:t>
      </w:r>
    </w:p>
    <w:p>
      <w:pPr>
        <w:pStyle w:val="46"/>
        <w:numPr>
          <w:ilvl w:val="0"/>
          <w:numId w:val="28"/>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应实际测算所用电缆长度，进行备料和敷设，避免不必要的接续；当必须进行接续时应采用专用接插件。</w:t>
      </w:r>
    </w:p>
    <w:p>
      <w:pPr>
        <w:pStyle w:val="46"/>
        <w:numPr>
          <w:ilvl w:val="0"/>
          <w:numId w:val="28"/>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尽量采用电缆从机架、控制台底部引入设备，此时应将电缆顺着所盘方向理直，按电缆的排列次序放入槽内；拐弯处应符合电缆曲率半径要求，根据电缆的数量应每隔100-200mm空绑一次；</w:t>
      </w:r>
    </w:p>
    <w:p>
      <w:pPr>
        <w:pStyle w:val="46"/>
        <w:numPr>
          <w:ilvl w:val="0"/>
          <w:numId w:val="28"/>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机架安装应竖直平稳，垂直偏差不得超过1%。机架内的设备、部件的安装，应在机架定位完毕并加固后进行，安装在机架内的设备应牢固、端正；</w:t>
      </w:r>
    </w:p>
    <w:p>
      <w:pPr>
        <w:pStyle w:val="46"/>
        <w:numPr>
          <w:ilvl w:val="0"/>
          <w:numId w:val="28"/>
        </w:numPr>
        <w:spacing w:before="156" w:beforeLines="50" w:after="156" w:afterLines="50"/>
        <w:ind w:left="0" w:firstLine="198" w:firstLineChars="0"/>
        <w:rPr>
          <w:rFonts w:ascii="宋体" w:hAnsi="宋体" w:cs="宋体"/>
          <w:highlight w:val="none"/>
        </w:rPr>
      </w:pPr>
      <w:r>
        <w:rPr>
          <w:rFonts w:hint="eastAsia" w:ascii="宋体" w:hAnsi="宋体" w:cs="宋体"/>
          <w:highlight w:val="none"/>
        </w:rPr>
        <w:t>系统图像清晰，系统功能符合设计要求、运行检修方便。</w:t>
      </w:r>
    </w:p>
    <w:p>
      <w:pPr>
        <w:pStyle w:val="2"/>
        <w:keepNext/>
        <w:keepLines/>
        <w:pageBreakBefore/>
        <w:widowControl w:val="0"/>
        <w:kinsoku/>
        <w:wordWrap/>
        <w:overflowPunct/>
        <w:topLinePunct w:val="0"/>
        <w:autoSpaceDE/>
        <w:autoSpaceDN/>
        <w:bidi w:val="0"/>
        <w:adjustRightInd/>
        <w:snapToGrid/>
        <w:ind w:left="482" w:leftChars="0" w:hanging="425" w:firstLineChars="0"/>
        <w:jc w:val="center"/>
        <w:textAlignment w:val="auto"/>
        <w:rPr>
          <w:highlight w:val="none"/>
        </w:rPr>
      </w:pPr>
      <w:bookmarkStart w:id="208" w:name="_Toc24042984"/>
      <w:bookmarkStart w:id="209" w:name="_Toc3969"/>
      <w:bookmarkStart w:id="210" w:name="_Toc23435"/>
      <w:r>
        <w:rPr>
          <w:rFonts w:hint="eastAsia"/>
          <w:highlight w:val="none"/>
        </w:rPr>
        <w:t>项目验收要求</w:t>
      </w:r>
      <w:bookmarkEnd w:id="208"/>
      <w:bookmarkEnd w:id="209"/>
      <w:bookmarkEnd w:id="210"/>
    </w:p>
    <w:p>
      <w:pPr>
        <w:pStyle w:val="3"/>
        <w:bidi w:val="0"/>
        <w:ind w:left="482" w:leftChars="0" w:hanging="425" w:firstLineChars="0"/>
        <w:rPr>
          <w:highlight w:val="none"/>
        </w:rPr>
      </w:pPr>
      <w:bookmarkStart w:id="211" w:name="_Toc4141"/>
      <w:bookmarkStart w:id="212" w:name="_Toc24042985"/>
      <w:bookmarkStart w:id="213" w:name="_Toc13676"/>
      <w:r>
        <w:rPr>
          <w:rFonts w:hint="eastAsia"/>
          <w:highlight w:val="none"/>
        </w:rPr>
        <w:t>验收条件</w:t>
      </w:r>
      <w:bookmarkEnd w:id="211"/>
      <w:bookmarkEnd w:id="212"/>
      <w:bookmarkEnd w:id="213"/>
    </w:p>
    <w:p>
      <w:pPr>
        <w:spacing w:before="156" w:beforeLines="50" w:after="156" w:afterLines="50"/>
        <w:ind w:firstLine="480"/>
        <w:rPr>
          <w:rFonts w:ascii="宋体" w:hAnsi="宋体" w:cs="宋体"/>
          <w:highlight w:val="none"/>
        </w:rPr>
      </w:pPr>
      <w:r>
        <w:rPr>
          <w:rFonts w:hint="eastAsia" w:ascii="宋体" w:hAnsi="宋体" w:cs="宋体"/>
          <w:highlight w:val="none"/>
        </w:rPr>
        <w:t>项目验收需具备以下前提条件：</w:t>
      </w:r>
    </w:p>
    <w:p>
      <w:pPr>
        <w:spacing w:before="156" w:beforeLines="50" w:after="156" w:afterLines="50"/>
        <w:ind w:firstLine="480"/>
        <w:rPr>
          <w:rFonts w:ascii="宋体" w:hAnsi="宋体" w:cs="宋体"/>
          <w:highlight w:val="none"/>
        </w:rPr>
      </w:pPr>
      <w:r>
        <w:rPr>
          <w:rFonts w:hint="eastAsia" w:ascii="宋体" w:hAnsi="宋体" w:cs="宋体"/>
          <w:highlight w:val="none"/>
        </w:rPr>
        <w:t>（一）</w:t>
      </w:r>
      <w:r>
        <w:rPr>
          <w:rFonts w:ascii="宋体" w:hAnsi="宋体" w:cs="宋体"/>
          <w:highlight w:val="none"/>
        </w:rPr>
        <w:t>所有建设项目按照合同要求全部建成，并满足使用要求；</w:t>
      </w:r>
    </w:p>
    <w:p>
      <w:pPr>
        <w:spacing w:before="156" w:beforeLines="50" w:after="156" w:afterLines="50"/>
        <w:ind w:firstLine="480"/>
        <w:rPr>
          <w:rFonts w:ascii="宋体" w:hAnsi="宋体" w:cs="宋体"/>
          <w:highlight w:val="none"/>
        </w:rPr>
      </w:pPr>
      <w:r>
        <w:rPr>
          <w:rFonts w:ascii="宋体" w:hAnsi="宋体" w:cs="宋体"/>
          <w:highlight w:val="none"/>
        </w:rPr>
        <w:t>（</w:t>
      </w:r>
      <w:r>
        <w:rPr>
          <w:rFonts w:hint="eastAsia" w:ascii="宋体" w:hAnsi="宋体" w:cs="宋体"/>
          <w:highlight w:val="none"/>
        </w:rPr>
        <w:t>二</w:t>
      </w:r>
      <w:r>
        <w:rPr>
          <w:rFonts w:ascii="宋体" w:hAnsi="宋体" w:cs="宋体"/>
          <w:highlight w:val="none"/>
        </w:rPr>
        <w:t>）已通过系统测试评审；</w:t>
      </w:r>
    </w:p>
    <w:p>
      <w:pPr>
        <w:spacing w:before="156" w:beforeLines="50" w:after="156" w:afterLines="50"/>
        <w:ind w:firstLine="480"/>
        <w:rPr>
          <w:rFonts w:ascii="宋体" w:hAnsi="宋体" w:cs="宋体"/>
          <w:highlight w:val="none"/>
        </w:rPr>
      </w:pPr>
      <w:r>
        <w:rPr>
          <w:rFonts w:ascii="宋体" w:hAnsi="宋体" w:cs="宋体"/>
          <w:highlight w:val="none"/>
        </w:rPr>
        <w:t>（</w:t>
      </w:r>
      <w:r>
        <w:rPr>
          <w:rFonts w:hint="eastAsia" w:ascii="宋体" w:hAnsi="宋体" w:cs="宋体"/>
          <w:highlight w:val="none"/>
        </w:rPr>
        <w:t>三</w:t>
      </w:r>
      <w:r>
        <w:rPr>
          <w:rFonts w:ascii="宋体" w:hAnsi="宋体" w:cs="宋体"/>
          <w:highlight w:val="none"/>
        </w:rPr>
        <w:t>）软件已置于配置管理之下；</w:t>
      </w:r>
    </w:p>
    <w:p>
      <w:pPr>
        <w:spacing w:before="156" w:beforeLines="50" w:after="156" w:afterLines="50"/>
        <w:ind w:firstLine="480"/>
        <w:rPr>
          <w:rFonts w:ascii="宋体" w:hAnsi="宋体" w:cs="宋体"/>
          <w:highlight w:val="none"/>
        </w:rPr>
      </w:pPr>
      <w:r>
        <w:rPr>
          <w:rFonts w:ascii="宋体" w:hAnsi="宋体" w:cs="宋体"/>
          <w:highlight w:val="none"/>
        </w:rPr>
        <w:t>（</w:t>
      </w:r>
      <w:r>
        <w:rPr>
          <w:rFonts w:hint="eastAsia" w:ascii="宋体" w:hAnsi="宋体" w:cs="宋体"/>
          <w:highlight w:val="none"/>
        </w:rPr>
        <w:t>四</w:t>
      </w:r>
      <w:r>
        <w:rPr>
          <w:rFonts w:ascii="宋体" w:hAnsi="宋体" w:cs="宋体"/>
          <w:highlight w:val="none"/>
        </w:rPr>
        <w:t>）各种技术文档和验收资料完备，符合合同的内容；</w:t>
      </w:r>
    </w:p>
    <w:p>
      <w:pPr>
        <w:spacing w:before="156" w:beforeLines="50" w:after="156" w:afterLines="50"/>
        <w:ind w:firstLine="480"/>
        <w:rPr>
          <w:rFonts w:ascii="宋体" w:hAnsi="宋体" w:cs="宋体"/>
          <w:highlight w:val="none"/>
        </w:rPr>
      </w:pPr>
      <w:r>
        <w:rPr>
          <w:rFonts w:ascii="宋体" w:hAnsi="宋体" w:cs="宋体"/>
          <w:highlight w:val="none"/>
        </w:rPr>
        <w:t>（</w:t>
      </w:r>
      <w:r>
        <w:rPr>
          <w:rFonts w:hint="eastAsia" w:ascii="宋体" w:hAnsi="宋体" w:cs="宋体"/>
          <w:highlight w:val="none"/>
        </w:rPr>
        <w:t>五</w:t>
      </w:r>
      <w:r>
        <w:rPr>
          <w:rFonts w:ascii="宋体" w:hAnsi="宋体" w:cs="宋体"/>
          <w:highlight w:val="none"/>
        </w:rPr>
        <w:t>）系统建设和数据处理符合信息安全的要求书；</w:t>
      </w:r>
    </w:p>
    <w:p>
      <w:pPr>
        <w:spacing w:before="156" w:beforeLines="50" w:after="156" w:afterLines="50"/>
        <w:ind w:firstLine="480"/>
        <w:rPr>
          <w:rFonts w:ascii="宋体" w:hAnsi="宋体" w:cs="宋体"/>
          <w:highlight w:val="none"/>
        </w:rPr>
      </w:pPr>
      <w:r>
        <w:rPr>
          <w:rFonts w:ascii="宋体" w:hAnsi="宋体" w:cs="宋体"/>
          <w:highlight w:val="none"/>
        </w:rPr>
        <w:t>（</w:t>
      </w:r>
      <w:r>
        <w:rPr>
          <w:rFonts w:hint="eastAsia" w:ascii="宋体" w:hAnsi="宋体" w:cs="宋体"/>
          <w:highlight w:val="none"/>
        </w:rPr>
        <w:t>六</w:t>
      </w:r>
      <w:r>
        <w:rPr>
          <w:rFonts w:ascii="宋体" w:hAnsi="宋体" w:cs="宋体"/>
          <w:highlight w:val="none"/>
        </w:rPr>
        <w:t>）各种设备经加电试运行，状态正常；</w:t>
      </w:r>
    </w:p>
    <w:p>
      <w:pPr>
        <w:spacing w:before="156" w:beforeLines="50" w:after="156" w:afterLines="50"/>
        <w:ind w:firstLine="480"/>
        <w:rPr>
          <w:rFonts w:ascii="宋体" w:hAnsi="宋体" w:cs="宋体"/>
          <w:highlight w:val="none"/>
        </w:rPr>
      </w:pPr>
      <w:r>
        <w:rPr>
          <w:rFonts w:ascii="宋体" w:hAnsi="宋体" w:cs="宋体"/>
          <w:highlight w:val="none"/>
        </w:rPr>
        <w:t>（</w:t>
      </w:r>
      <w:r>
        <w:rPr>
          <w:rFonts w:hint="eastAsia" w:ascii="宋体" w:hAnsi="宋体" w:cs="宋体"/>
          <w:highlight w:val="none"/>
          <w:lang w:val="en-US" w:eastAsia="zh-CN"/>
        </w:rPr>
        <w:t>七</w:t>
      </w:r>
      <w:r>
        <w:rPr>
          <w:rFonts w:ascii="宋体" w:hAnsi="宋体" w:cs="宋体"/>
          <w:highlight w:val="none"/>
        </w:rPr>
        <w:t>）经过相关主管部门和项目业主同意；</w:t>
      </w:r>
    </w:p>
    <w:p>
      <w:pPr>
        <w:spacing w:before="156" w:beforeLines="50" w:after="156" w:afterLines="50"/>
        <w:ind w:firstLine="480"/>
        <w:rPr>
          <w:rFonts w:ascii="宋体" w:hAnsi="宋体" w:cs="宋体"/>
          <w:highlight w:val="none"/>
        </w:rPr>
      </w:pPr>
      <w:r>
        <w:rPr>
          <w:rFonts w:ascii="宋体" w:hAnsi="宋体" w:cs="宋体"/>
          <w:highlight w:val="none"/>
        </w:rPr>
        <w:t>（</w:t>
      </w:r>
      <w:r>
        <w:rPr>
          <w:rFonts w:hint="eastAsia" w:ascii="宋体" w:hAnsi="宋体" w:cs="宋体"/>
          <w:highlight w:val="none"/>
          <w:lang w:val="en-US" w:eastAsia="zh-CN"/>
        </w:rPr>
        <w:t>八</w:t>
      </w:r>
      <w:r>
        <w:rPr>
          <w:rFonts w:ascii="宋体" w:hAnsi="宋体" w:cs="宋体"/>
          <w:highlight w:val="none"/>
        </w:rPr>
        <w:t>）合同或合同附件规定的其他验收条件。</w:t>
      </w:r>
    </w:p>
    <w:p>
      <w:pPr>
        <w:pStyle w:val="3"/>
        <w:bidi w:val="0"/>
        <w:ind w:left="482" w:leftChars="0" w:hanging="425" w:firstLineChars="0"/>
        <w:rPr>
          <w:highlight w:val="none"/>
        </w:rPr>
      </w:pPr>
      <w:bookmarkStart w:id="214" w:name="_Toc24042986"/>
      <w:bookmarkStart w:id="215" w:name="_Toc7821"/>
      <w:bookmarkStart w:id="216" w:name="_Toc8716"/>
      <w:r>
        <w:rPr>
          <w:rFonts w:hint="eastAsia"/>
          <w:highlight w:val="none"/>
        </w:rPr>
        <w:t>试运行要求</w:t>
      </w:r>
      <w:bookmarkEnd w:id="214"/>
      <w:bookmarkEnd w:id="215"/>
      <w:bookmarkEnd w:id="216"/>
    </w:p>
    <w:p>
      <w:pPr>
        <w:spacing w:before="120" w:after="120"/>
        <w:ind w:firstLine="480"/>
        <w:rPr>
          <w:rFonts w:ascii="宋体" w:hAnsi="宋体" w:cs="宋体"/>
          <w:highlight w:val="none"/>
        </w:rPr>
      </w:pPr>
      <w:r>
        <w:rPr>
          <w:rFonts w:ascii="宋体" w:hAnsi="宋体" w:cs="宋体"/>
          <w:highlight w:val="none"/>
        </w:rPr>
        <w:t>系统建成后未验收之前，施工方将进行系统试运行，试运行时间为7天。试运行遵循“从低到高，从小到大，从无到有”的原则。具体流程如下：</w:t>
      </w:r>
    </w:p>
    <w:p>
      <w:pPr>
        <w:spacing w:before="120" w:after="120"/>
        <w:ind w:firstLine="482"/>
        <w:rPr>
          <w:rFonts w:ascii="宋体" w:hAnsi="宋体" w:cs="宋体"/>
          <w:b w:val="0"/>
          <w:bCs/>
          <w:highlight w:val="none"/>
        </w:rPr>
      </w:pPr>
      <w:r>
        <w:rPr>
          <w:rFonts w:ascii="宋体" w:hAnsi="宋体" w:cs="宋体"/>
          <w:b w:val="0"/>
          <w:bCs/>
          <w:highlight w:val="none"/>
        </w:rPr>
        <w:t>1）单点试运行</w:t>
      </w:r>
    </w:p>
    <w:p>
      <w:pPr>
        <w:pStyle w:val="46"/>
        <w:numPr>
          <w:ilvl w:val="0"/>
          <w:numId w:val="29"/>
        </w:numPr>
        <w:spacing w:before="156" w:beforeLines="50" w:after="156" w:afterLines="50"/>
        <w:ind w:firstLineChars="0"/>
        <w:rPr>
          <w:rFonts w:ascii="宋体" w:hAnsi="宋体" w:cs="宋体"/>
          <w:highlight w:val="none"/>
        </w:rPr>
      </w:pPr>
      <w:r>
        <w:rPr>
          <w:rFonts w:ascii="宋体" w:hAnsi="宋体" w:cs="宋体"/>
          <w:highlight w:val="none"/>
        </w:rPr>
        <w:t>对后台设备进行功能性测试，包括设备的安装及接地，设备安装软件的正常 使用，设备通讯端口的正确配置等。</w:t>
      </w:r>
    </w:p>
    <w:p>
      <w:pPr>
        <w:pStyle w:val="46"/>
        <w:numPr>
          <w:ilvl w:val="0"/>
          <w:numId w:val="29"/>
        </w:numPr>
        <w:spacing w:before="156" w:beforeLines="50" w:after="156" w:afterLines="50"/>
        <w:ind w:firstLineChars="0"/>
        <w:rPr>
          <w:rFonts w:ascii="宋体" w:hAnsi="宋体" w:cs="宋体"/>
          <w:highlight w:val="none"/>
        </w:rPr>
      </w:pPr>
      <w:r>
        <w:rPr>
          <w:rFonts w:ascii="宋体" w:hAnsi="宋体" w:cs="宋体"/>
          <w:highlight w:val="none"/>
        </w:rPr>
        <w:t>对系统存储设备的功能性测试，包括设备安装及接地，存储硬盘的安装格式化，设备的参数配置，数据的写入读出等。</w:t>
      </w:r>
    </w:p>
    <w:p>
      <w:pPr>
        <w:pStyle w:val="46"/>
        <w:numPr>
          <w:ilvl w:val="0"/>
          <w:numId w:val="29"/>
        </w:numPr>
        <w:spacing w:before="156" w:beforeLines="50" w:after="156" w:afterLines="50"/>
        <w:ind w:firstLineChars="0"/>
        <w:rPr>
          <w:rFonts w:ascii="宋体" w:hAnsi="宋体" w:cs="宋体"/>
          <w:highlight w:val="none"/>
        </w:rPr>
      </w:pPr>
      <w:r>
        <w:rPr>
          <w:rFonts w:ascii="宋体" w:hAnsi="宋体" w:cs="宋体"/>
          <w:highlight w:val="none"/>
        </w:rPr>
        <w:t>对系统传输网络进行抽样测试，包括网络交换设备的端口配置，设备的接入 带宽，光纤的衰减值等。</w:t>
      </w:r>
    </w:p>
    <w:p>
      <w:pPr>
        <w:spacing w:before="120" w:after="120"/>
        <w:ind w:firstLine="482"/>
        <w:rPr>
          <w:rFonts w:ascii="宋体" w:hAnsi="宋体" w:cs="宋体"/>
          <w:b w:val="0"/>
          <w:bCs/>
          <w:highlight w:val="none"/>
        </w:rPr>
      </w:pPr>
      <w:r>
        <w:rPr>
          <w:rFonts w:ascii="宋体" w:hAnsi="宋体" w:cs="宋体"/>
          <w:b w:val="0"/>
          <w:bCs/>
          <w:highlight w:val="none"/>
        </w:rPr>
        <w:t xml:space="preserve">2）系统试运行 </w:t>
      </w:r>
    </w:p>
    <w:p>
      <w:pPr>
        <w:pStyle w:val="46"/>
        <w:numPr>
          <w:ilvl w:val="0"/>
          <w:numId w:val="29"/>
        </w:numPr>
        <w:spacing w:before="156" w:beforeLines="50" w:after="156" w:afterLines="50"/>
        <w:ind w:firstLineChars="0"/>
        <w:rPr>
          <w:rFonts w:ascii="宋体" w:hAnsi="宋体" w:cs="宋体"/>
          <w:highlight w:val="none"/>
        </w:rPr>
      </w:pPr>
      <w:r>
        <w:rPr>
          <w:rFonts w:ascii="宋体" w:hAnsi="宋体" w:cs="宋体"/>
          <w:highlight w:val="none"/>
        </w:rPr>
        <w:t>将一路前端视频信号逐一添加进存储管理设备，检查连接情况，码流速率，图像质量，检查录像资料是否完整，检查视频检索回放是否正常。</w:t>
      </w:r>
    </w:p>
    <w:p>
      <w:pPr>
        <w:pStyle w:val="46"/>
        <w:numPr>
          <w:ilvl w:val="0"/>
          <w:numId w:val="29"/>
        </w:numPr>
        <w:spacing w:before="156" w:beforeLines="50" w:after="156" w:afterLines="50"/>
        <w:ind w:firstLineChars="0"/>
        <w:rPr>
          <w:rFonts w:ascii="宋体" w:hAnsi="宋体" w:cs="宋体"/>
          <w:highlight w:val="none"/>
        </w:rPr>
      </w:pPr>
      <w:r>
        <w:rPr>
          <w:rFonts w:ascii="宋体" w:hAnsi="宋体" w:cs="宋体"/>
          <w:highlight w:val="none"/>
        </w:rPr>
        <w:t>通视过频显示终端，将前端设备、后端设备逐一添加，检查设备连接情况，检查各设备工作情况是否正常，是否存在兼容性问题。检查软件功能模块是否工作正常。</w:t>
      </w:r>
    </w:p>
    <w:p>
      <w:pPr>
        <w:spacing w:before="120" w:after="120"/>
        <w:ind w:firstLine="482"/>
        <w:rPr>
          <w:rFonts w:ascii="宋体" w:hAnsi="宋体" w:cs="宋体"/>
          <w:b w:val="0"/>
          <w:bCs/>
          <w:highlight w:val="none"/>
        </w:rPr>
      </w:pPr>
      <w:r>
        <w:rPr>
          <w:rFonts w:hint="eastAsia" w:ascii="宋体" w:hAnsi="宋体" w:cs="宋体"/>
          <w:b w:val="0"/>
          <w:bCs/>
          <w:highlight w:val="none"/>
        </w:rPr>
        <w:t>3</w:t>
      </w:r>
      <w:r>
        <w:rPr>
          <w:rFonts w:ascii="宋体" w:hAnsi="宋体" w:cs="宋体"/>
          <w:b w:val="0"/>
          <w:bCs/>
          <w:highlight w:val="none"/>
        </w:rPr>
        <w:t xml:space="preserve">）联动试运行 </w:t>
      </w:r>
    </w:p>
    <w:p>
      <w:pPr>
        <w:pStyle w:val="46"/>
        <w:numPr>
          <w:ilvl w:val="0"/>
          <w:numId w:val="29"/>
        </w:numPr>
        <w:spacing w:before="156" w:beforeLines="50" w:after="156" w:afterLines="50"/>
        <w:ind w:firstLineChars="0"/>
        <w:rPr>
          <w:rFonts w:ascii="宋体" w:hAnsi="宋体" w:cs="宋体"/>
          <w:highlight w:val="none"/>
        </w:rPr>
      </w:pPr>
      <w:r>
        <w:rPr>
          <w:rFonts w:ascii="宋体" w:hAnsi="宋体" w:cs="宋体"/>
          <w:highlight w:val="none"/>
        </w:rPr>
        <w:t>在空负荷或小负荷情况下，检测系统的整体运行性能，包括设备的连接情况，前端视频的实时图像质量、存储设备的存储性能、录像的回放质量、网络交换设备的转发吞吐能力等。</w:t>
      </w:r>
    </w:p>
    <w:p>
      <w:pPr>
        <w:pStyle w:val="46"/>
        <w:numPr>
          <w:ilvl w:val="0"/>
          <w:numId w:val="29"/>
        </w:numPr>
        <w:spacing w:before="156" w:beforeLines="50" w:after="156" w:afterLines="50"/>
        <w:ind w:firstLineChars="0"/>
        <w:rPr>
          <w:rFonts w:ascii="宋体" w:hAnsi="宋体" w:cs="宋体"/>
          <w:highlight w:val="none"/>
        </w:rPr>
      </w:pPr>
      <w:r>
        <w:rPr>
          <w:rFonts w:ascii="宋体" w:hAnsi="宋体" w:cs="宋体"/>
          <w:highlight w:val="none"/>
        </w:rPr>
        <w:t>在逐渐加大负荷至满负荷的情况下，检测系统的整体运行性能，包括设备的连接情况（是否存在设备掉线）、前端视频的实时图像质量（是否存在掉线、卡 顿、码流速率等）、网络交换设备的转发吞吐能力。</w:t>
      </w:r>
    </w:p>
    <w:p>
      <w:pPr>
        <w:pStyle w:val="3"/>
        <w:bidi w:val="0"/>
        <w:ind w:left="482" w:leftChars="0" w:hanging="425" w:firstLineChars="0"/>
        <w:rPr>
          <w:highlight w:val="none"/>
        </w:rPr>
      </w:pPr>
      <w:bookmarkStart w:id="217" w:name="_Toc24042987"/>
      <w:bookmarkStart w:id="218" w:name="_Toc31733"/>
      <w:bookmarkStart w:id="219" w:name="_Toc10705"/>
      <w:r>
        <w:rPr>
          <w:highlight w:val="none"/>
        </w:rPr>
        <w:t>验收方法</w:t>
      </w:r>
      <w:bookmarkEnd w:id="217"/>
      <w:bookmarkEnd w:id="218"/>
      <w:bookmarkEnd w:id="219"/>
    </w:p>
    <w:p>
      <w:pPr>
        <w:spacing w:before="120" w:after="120"/>
        <w:ind w:firstLine="480"/>
        <w:rPr>
          <w:rFonts w:ascii="宋体" w:hAnsi="宋体" w:cs="宋体"/>
          <w:highlight w:val="none"/>
        </w:rPr>
      </w:pPr>
      <w:r>
        <w:rPr>
          <w:rFonts w:ascii="宋体" w:hAnsi="宋体" w:cs="宋体"/>
          <w:highlight w:val="none"/>
        </w:rPr>
        <w:t>项目验收，是项目开发建设中有组织的主动性行为，它是对项目建设高度负责的体现，也是项目建设成功的重要保证。切实做好项目建设中的验收工作至关重要，应当采取有效措施，实实在在做好。为保证项目验收质量，针对不同的验收内容，在实施验收操作中，可以采取以下不同的方法：</w:t>
      </w:r>
    </w:p>
    <w:p>
      <w:pPr>
        <w:spacing w:before="120" w:after="120"/>
        <w:ind w:firstLine="480"/>
        <w:rPr>
          <w:rFonts w:ascii="宋体" w:hAnsi="宋体" w:cs="宋体"/>
          <w:highlight w:val="none"/>
        </w:rPr>
      </w:pPr>
      <w:r>
        <w:rPr>
          <w:rFonts w:ascii="宋体" w:hAnsi="宋体" w:cs="宋体"/>
          <w:highlight w:val="none"/>
        </w:rPr>
        <w:t>（一）登记法</w:t>
      </w:r>
    </w:p>
    <w:p>
      <w:pPr>
        <w:spacing w:before="120" w:after="120"/>
        <w:ind w:firstLine="480"/>
        <w:rPr>
          <w:rFonts w:ascii="宋体" w:hAnsi="宋体" w:cs="宋体"/>
          <w:highlight w:val="none"/>
        </w:rPr>
      </w:pPr>
      <w:r>
        <w:rPr>
          <w:rFonts w:ascii="宋体" w:hAnsi="宋体" w:cs="宋体"/>
          <w:highlight w:val="none"/>
        </w:rPr>
        <w:t>对项目中所涉及的所有硬件、软件和应用程序一一登记，特别是硬件使用手册、系统软件使用手册、应用程序各种技术文档等一定要登记造册，不可遗漏，并妥善保管。对项目建设中根据实际进展情况双方同意后修订的合同条款、协调开发建设中的问题进行登记。</w:t>
      </w:r>
    </w:p>
    <w:p>
      <w:pPr>
        <w:spacing w:before="120" w:after="120"/>
        <w:ind w:firstLine="480"/>
        <w:rPr>
          <w:rFonts w:ascii="宋体" w:hAnsi="宋体" w:cs="宋体"/>
          <w:highlight w:val="none"/>
        </w:rPr>
      </w:pPr>
      <w:r>
        <w:rPr>
          <w:rFonts w:ascii="宋体" w:hAnsi="宋体" w:cs="宋体"/>
          <w:highlight w:val="none"/>
        </w:rPr>
        <w:t>（二）对照法</w:t>
      </w:r>
    </w:p>
    <w:p>
      <w:pPr>
        <w:spacing w:before="120" w:after="120"/>
        <w:ind w:firstLine="480"/>
        <w:rPr>
          <w:rFonts w:ascii="宋体" w:hAnsi="宋体" w:cs="宋体"/>
          <w:highlight w:val="none"/>
        </w:rPr>
      </w:pPr>
      <w:r>
        <w:rPr>
          <w:rFonts w:ascii="宋体" w:hAnsi="宋体" w:cs="宋体"/>
          <w:highlight w:val="none"/>
        </w:rPr>
        <w:t>对照检查项目各项建设内容的结果是否与合同条款及工程实施方案相一致。</w:t>
      </w:r>
    </w:p>
    <w:p>
      <w:pPr>
        <w:spacing w:before="120" w:after="120"/>
        <w:ind w:firstLine="480"/>
        <w:rPr>
          <w:rFonts w:ascii="宋体" w:hAnsi="宋体" w:cs="宋体"/>
          <w:highlight w:val="none"/>
        </w:rPr>
      </w:pPr>
      <w:r>
        <w:rPr>
          <w:rFonts w:ascii="宋体" w:hAnsi="宋体" w:cs="宋体"/>
          <w:highlight w:val="none"/>
        </w:rPr>
        <w:t>（三）操作法</w:t>
      </w:r>
    </w:p>
    <w:p>
      <w:pPr>
        <w:spacing w:before="120" w:after="120"/>
        <w:ind w:firstLine="480"/>
        <w:rPr>
          <w:rFonts w:ascii="宋体" w:hAnsi="宋体" w:cs="宋体"/>
          <w:highlight w:val="none"/>
        </w:rPr>
      </w:pPr>
      <w:r>
        <w:rPr>
          <w:rFonts w:ascii="宋体" w:hAnsi="宋体" w:cs="宋体"/>
          <w:highlight w:val="none"/>
        </w:rPr>
        <w:t>这是项目建设最主要的验收方法。首先，对项目系统硬件一一实际加电操作，验证是否与硬件提供的技术性能相一致；其次，运行项目系统软件，检验其管理硬件及应用软件的实际能力是否与合同规定的一致；第三，运行应用软件，实际操作，处理业务，检查是否与合同规定的一致，达到了预期的目的。</w:t>
      </w:r>
    </w:p>
    <w:p>
      <w:pPr>
        <w:spacing w:before="120" w:after="120"/>
        <w:ind w:firstLine="480"/>
        <w:rPr>
          <w:rFonts w:ascii="宋体" w:hAnsi="宋体" w:cs="宋体"/>
          <w:highlight w:val="none"/>
        </w:rPr>
      </w:pPr>
      <w:r>
        <w:rPr>
          <w:rFonts w:ascii="宋体" w:hAnsi="宋体" w:cs="宋体"/>
          <w:highlight w:val="none"/>
        </w:rPr>
        <w:t>（四）测试法</w:t>
      </w:r>
    </w:p>
    <w:p>
      <w:pPr>
        <w:spacing w:before="120" w:after="120"/>
        <w:ind w:firstLine="480"/>
        <w:rPr>
          <w:rFonts w:ascii="宋体" w:hAnsi="宋体" w:cs="宋体"/>
          <w:highlight w:val="none"/>
        </w:rPr>
      </w:pPr>
      <w:r>
        <w:rPr>
          <w:rFonts w:ascii="宋体" w:hAnsi="宋体" w:cs="宋体"/>
          <w:highlight w:val="none"/>
        </w:rPr>
        <w:t>对能使用检测仪器进行检测的设备、实施应当一一进行实际测试，检查是否和设备、实施的规格、性能要求相一致。</w:t>
      </w:r>
    </w:p>
    <w:p>
      <w:pPr>
        <w:pStyle w:val="3"/>
        <w:bidi w:val="0"/>
        <w:ind w:left="482" w:leftChars="0" w:hanging="425" w:firstLineChars="0"/>
        <w:rPr>
          <w:highlight w:val="none"/>
        </w:rPr>
      </w:pPr>
      <w:bookmarkStart w:id="220" w:name="_Toc24042988"/>
      <w:bookmarkStart w:id="221" w:name="_Toc23830"/>
      <w:bookmarkStart w:id="222" w:name="_Toc13385"/>
      <w:r>
        <w:rPr>
          <w:rFonts w:hint="eastAsia"/>
          <w:highlight w:val="none"/>
        </w:rPr>
        <w:t>验收流程</w:t>
      </w:r>
      <w:bookmarkEnd w:id="220"/>
      <w:bookmarkEnd w:id="221"/>
      <w:bookmarkEnd w:id="222"/>
    </w:p>
    <w:p>
      <w:pPr>
        <w:spacing w:before="120" w:after="120"/>
        <w:ind w:left="-720" w:leftChars="-300" w:firstLine="420"/>
        <w:jc w:val="center"/>
        <w:rPr>
          <w:rFonts w:asciiTheme="minorEastAsia" w:hAnsiTheme="minorEastAsia" w:eastAsiaTheme="minorEastAsia"/>
          <w:highlight w:val="none"/>
        </w:rPr>
      </w:pPr>
      <w:r>
        <w:rPr>
          <w:sz w:val="21"/>
          <w:highlight w:val="none"/>
        </w:rPr>
        <w:drawing>
          <wp:inline distT="0" distB="0" distL="0" distR="0">
            <wp:extent cx="4143375" cy="4867910"/>
            <wp:effectExtent l="19050" t="0" r="9525" b="0"/>
            <wp:docPr id="7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图片 1"/>
                    <pic:cNvPicPr>
                      <a:picLocks noChangeAspect="1" noChangeArrowheads="1"/>
                    </pic:cNvPicPr>
                  </pic:nvPicPr>
                  <pic:blipFill>
                    <a:blip r:embed="rId63"/>
                    <a:srcRect/>
                    <a:stretch>
                      <a:fillRect/>
                    </a:stretch>
                  </pic:blipFill>
                  <pic:spPr>
                    <a:xfrm>
                      <a:off x="0" y="0"/>
                      <a:ext cx="4143375" cy="4868466"/>
                    </a:xfrm>
                    <a:prstGeom prst="rect">
                      <a:avLst/>
                    </a:prstGeom>
                    <a:noFill/>
                    <a:ln w="9525" cmpd="sng">
                      <a:noFill/>
                      <a:miter lim="800000"/>
                      <a:headEnd/>
                      <a:tailEnd/>
                    </a:ln>
                  </pic:spPr>
                </pic:pic>
              </a:graphicData>
            </a:graphic>
          </wp:inline>
        </w:drawing>
      </w:r>
    </w:p>
    <w:p>
      <w:pPr>
        <w:spacing w:before="120" w:after="120"/>
        <w:ind w:firstLine="480"/>
        <w:rPr>
          <w:rFonts w:ascii="宋体" w:hAnsi="宋体" w:cs="宋体"/>
          <w:highlight w:val="none"/>
        </w:rPr>
      </w:pPr>
      <w:r>
        <w:rPr>
          <w:rFonts w:ascii="宋体" w:hAnsi="宋体" w:cs="宋体"/>
          <w:highlight w:val="none"/>
        </w:rPr>
        <w:t>（一）初验</w:t>
      </w:r>
    </w:p>
    <w:p>
      <w:pPr>
        <w:spacing w:before="120" w:after="120"/>
        <w:ind w:firstLine="480"/>
        <w:rPr>
          <w:rFonts w:ascii="宋体" w:hAnsi="宋体" w:cs="宋体"/>
          <w:highlight w:val="none"/>
        </w:rPr>
      </w:pPr>
      <w:r>
        <w:rPr>
          <w:rFonts w:ascii="宋体" w:hAnsi="宋体" w:cs="宋体"/>
          <w:highlight w:val="none"/>
        </w:rPr>
        <w:t>1、申请：项目竣工后经测试和试运行合格，施工单位根据合同、招标书、计划任务书，检查、总结项目完成情况后向业主提出初验申请。</w:t>
      </w:r>
    </w:p>
    <w:p>
      <w:pPr>
        <w:spacing w:before="120" w:after="120"/>
        <w:ind w:firstLine="480"/>
        <w:rPr>
          <w:rFonts w:ascii="宋体" w:hAnsi="宋体" w:cs="宋体"/>
          <w:highlight w:val="none"/>
        </w:rPr>
      </w:pPr>
      <w:r>
        <w:rPr>
          <w:rFonts w:ascii="宋体" w:hAnsi="宋体" w:cs="宋体"/>
          <w:highlight w:val="none"/>
        </w:rPr>
        <w:t>2、方式：项目业主组织验收委员会和施工单位进行初验。</w:t>
      </w:r>
    </w:p>
    <w:p>
      <w:pPr>
        <w:spacing w:before="120" w:after="120"/>
        <w:ind w:firstLine="480"/>
        <w:rPr>
          <w:rFonts w:ascii="宋体" w:hAnsi="宋体" w:cs="宋体"/>
          <w:highlight w:val="none"/>
        </w:rPr>
      </w:pPr>
      <w:r>
        <w:rPr>
          <w:rFonts w:ascii="宋体" w:hAnsi="宋体" w:cs="宋体"/>
          <w:highlight w:val="none"/>
        </w:rPr>
        <w:t>3、施工单位提供材料：初验申请书、完工报告、项目总结，以及要求的验收评审资料。</w:t>
      </w:r>
    </w:p>
    <w:p>
      <w:pPr>
        <w:spacing w:before="120" w:after="120"/>
        <w:ind w:firstLine="480"/>
        <w:rPr>
          <w:rFonts w:ascii="宋体" w:hAnsi="宋体" w:cs="宋体"/>
          <w:highlight w:val="none"/>
        </w:rPr>
      </w:pPr>
      <w:r>
        <w:rPr>
          <w:rFonts w:ascii="宋体" w:hAnsi="宋体" w:cs="宋体"/>
          <w:highlight w:val="none"/>
        </w:rPr>
        <w:t>（二）终验</w:t>
      </w:r>
    </w:p>
    <w:p>
      <w:pPr>
        <w:spacing w:before="120" w:after="120"/>
        <w:ind w:firstLine="480"/>
        <w:rPr>
          <w:rFonts w:ascii="宋体" w:hAnsi="宋体" w:cs="宋体"/>
          <w:highlight w:val="none"/>
        </w:rPr>
      </w:pPr>
      <w:r>
        <w:rPr>
          <w:rFonts w:ascii="宋体" w:hAnsi="宋体" w:cs="宋体"/>
          <w:highlight w:val="none"/>
        </w:rPr>
        <w:t>1、申请：初验合格后，项目业主根据合同、招标书、任务书，检查、总结项目组织实施和完成情况后向业主</w:t>
      </w:r>
      <w:r>
        <w:rPr>
          <w:rFonts w:hint="eastAsia" w:ascii="宋体" w:hAnsi="宋体" w:cs="宋体"/>
          <w:highlight w:val="none"/>
        </w:rPr>
        <w:t>或专家组</w:t>
      </w:r>
      <w:r>
        <w:rPr>
          <w:rFonts w:ascii="宋体" w:hAnsi="宋体" w:cs="宋体"/>
          <w:highlight w:val="none"/>
        </w:rPr>
        <w:t>提出验收申请。</w:t>
      </w:r>
    </w:p>
    <w:p>
      <w:pPr>
        <w:spacing w:before="120" w:after="120"/>
        <w:ind w:firstLine="480"/>
        <w:rPr>
          <w:rFonts w:ascii="宋体" w:hAnsi="宋体" w:cs="宋体"/>
          <w:highlight w:val="none"/>
        </w:rPr>
      </w:pPr>
      <w:r>
        <w:rPr>
          <w:rFonts w:ascii="宋体" w:hAnsi="宋体" w:cs="宋体"/>
          <w:highlight w:val="none"/>
        </w:rPr>
        <w:t>2、验收委员会评审验收。</w:t>
      </w:r>
    </w:p>
    <w:p>
      <w:pPr>
        <w:spacing w:before="120" w:after="120"/>
        <w:ind w:firstLine="480"/>
        <w:rPr>
          <w:rFonts w:ascii="宋体" w:hAnsi="宋体" w:cs="宋体"/>
          <w:highlight w:val="none"/>
        </w:rPr>
      </w:pPr>
      <w:r>
        <w:rPr>
          <w:rFonts w:ascii="宋体" w:hAnsi="宋体" w:cs="宋体"/>
          <w:highlight w:val="none"/>
        </w:rPr>
        <w:t>验收工作由项目业主和专家组成验收小组进行验收。验收工作分为两个步骤：验收小组验收和验收委员会评审，由验收小组共同确定验收时间、评审时间及其它安排。</w:t>
      </w:r>
    </w:p>
    <w:p>
      <w:pPr>
        <w:spacing w:before="120" w:after="120"/>
        <w:ind w:firstLine="480"/>
        <w:rPr>
          <w:rFonts w:ascii="宋体" w:hAnsi="宋体" w:cs="宋体"/>
          <w:highlight w:val="none"/>
        </w:rPr>
      </w:pPr>
      <w:r>
        <w:rPr>
          <w:rFonts w:ascii="宋体" w:hAnsi="宋体" w:cs="宋体"/>
          <w:highlight w:val="none"/>
        </w:rPr>
        <w:t>3、验收签字</w:t>
      </w:r>
    </w:p>
    <w:p>
      <w:pPr>
        <w:spacing w:before="120" w:after="120"/>
        <w:ind w:firstLine="480"/>
        <w:rPr>
          <w:rFonts w:ascii="宋体" w:hAnsi="宋体" w:cs="宋体"/>
          <w:highlight w:val="none"/>
        </w:rPr>
      </w:pPr>
      <w:r>
        <w:rPr>
          <w:rFonts w:ascii="宋体" w:hAnsi="宋体" w:cs="宋体"/>
          <w:highlight w:val="none"/>
        </w:rPr>
        <w:t>经过验收、评审形成的验收报告和评审报告，验收委员会成员签字。</w:t>
      </w:r>
    </w:p>
    <w:p>
      <w:pPr>
        <w:pStyle w:val="3"/>
        <w:bidi w:val="0"/>
        <w:ind w:left="482" w:leftChars="0" w:hanging="425" w:firstLineChars="0"/>
        <w:rPr>
          <w:highlight w:val="none"/>
        </w:rPr>
      </w:pPr>
      <w:bookmarkStart w:id="223" w:name="_Toc21721"/>
      <w:bookmarkStart w:id="224" w:name="_Toc24042989"/>
      <w:bookmarkStart w:id="225" w:name="_Toc20346"/>
      <w:r>
        <w:rPr>
          <w:highlight w:val="none"/>
        </w:rPr>
        <w:t>验收依据</w:t>
      </w:r>
      <w:bookmarkEnd w:id="223"/>
      <w:bookmarkEnd w:id="224"/>
      <w:bookmarkEnd w:id="225"/>
    </w:p>
    <w:p>
      <w:pPr>
        <w:spacing w:before="120" w:after="120"/>
        <w:ind w:firstLine="480"/>
        <w:rPr>
          <w:rFonts w:ascii="宋体" w:hAnsi="宋体" w:cs="宋体"/>
          <w:highlight w:val="none"/>
        </w:rPr>
      </w:pPr>
      <w:r>
        <w:rPr>
          <w:rFonts w:ascii="宋体" w:hAnsi="宋体" w:cs="宋体"/>
          <w:highlight w:val="none"/>
        </w:rPr>
        <w:t>作为项目验收的依据，一般选用项目合同书、国标、行业标准和相关政策法规、国际惯例等。</w:t>
      </w:r>
    </w:p>
    <w:p>
      <w:pPr>
        <w:spacing w:before="120" w:after="120"/>
        <w:ind w:firstLine="480"/>
        <w:rPr>
          <w:rFonts w:ascii="宋体" w:hAnsi="宋体" w:cs="宋体"/>
          <w:highlight w:val="none"/>
        </w:rPr>
      </w:pPr>
      <w:r>
        <w:rPr>
          <w:rFonts w:ascii="宋体" w:hAnsi="宋体" w:cs="宋体"/>
          <w:highlight w:val="none"/>
        </w:rPr>
        <w:t>（一）项目合同书</w:t>
      </w:r>
    </w:p>
    <w:p>
      <w:pPr>
        <w:spacing w:before="120" w:after="120"/>
        <w:ind w:firstLine="480"/>
        <w:rPr>
          <w:rFonts w:ascii="宋体" w:hAnsi="宋体" w:cs="宋体"/>
          <w:highlight w:val="none"/>
        </w:rPr>
      </w:pPr>
      <w:r>
        <w:rPr>
          <w:rFonts w:ascii="宋体" w:hAnsi="宋体" w:cs="宋体"/>
          <w:highlight w:val="none"/>
        </w:rPr>
        <w:t>签定的项目有关合同</w:t>
      </w:r>
    </w:p>
    <w:p>
      <w:pPr>
        <w:spacing w:before="120" w:after="120"/>
        <w:ind w:firstLine="480"/>
        <w:rPr>
          <w:rFonts w:ascii="宋体" w:hAnsi="宋体" w:cs="宋体"/>
          <w:highlight w:val="none"/>
        </w:rPr>
      </w:pPr>
      <w:r>
        <w:rPr>
          <w:rFonts w:ascii="宋体" w:hAnsi="宋体" w:cs="宋体"/>
          <w:highlight w:val="none"/>
        </w:rPr>
        <w:t>（二）国家标准</w:t>
      </w:r>
    </w:p>
    <w:p>
      <w:pPr>
        <w:spacing w:before="120" w:after="120"/>
        <w:ind w:firstLine="480"/>
        <w:rPr>
          <w:rFonts w:ascii="宋体" w:hAnsi="宋体" w:cs="宋体"/>
          <w:highlight w:val="none"/>
        </w:rPr>
      </w:pPr>
      <w:r>
        <w:rPr>
          <w:rFonts w:ascii="宋体" w:hAnsi="宋体" w:cs="宋体"/>
          <w:highlight w:val="none"/>
        </w:rPr>
        <w:t>硬件、软件、布线、安全等</w:t>
      </w:r>
    </w:p>
    <w:p>
      <w:pPr>
        <w:spacing w:before="120" w:after="120"/>
        <w:ind w:firstLine="480"/>
        <w:rPr>
          <w:rFonts w:ascii="宋体" w:hAnsi="宋体" w:cs="宋体"/>
          <w:highlight w:val="none"/>
        </w:rPr>
      </w:pPr>
      <w:r>
        <w:rPr>
          <w:rFonts w:ascii="宋体" w:hAnsi="宋体" w:cs="宋体"/>
          <w:highlight w:val="none"/>
        </w:rPr>
        <w:t>（</w:t>
      </w:r>
      <w:r>
        <w:rPr>
          <w:rFonts w:hint="eastAsia" w:ascii="宋体" w:hAnsi="宋体" w:cs="宋体"/>
          <w:highlight w:val="none"/>
        </w:rPr>
        <w:t>三</w:t>
      </w:r>
      <w:r>
        <w:rPr>
          <w:rFonts w:ascii="宋体" w:hAnsi="宋体" w:cs="宋体"/>
          <w:highlight w:val="none"/>
        </w:rPr>
        <w:t>）其它</w:t>
      </w:r>
    </w:p>
    <w:p>
      <w:pPr>
        <w:spacing w:before="120" w:after="120"/>
        <w:ind w:firstLine="480"/>
        <w:rPr>
          <w:rFonts w:ascii="宋体" w:hAnsi="宋体" w:cs="宋体"/>
          <w:highlight w:val="none"/>
        </w:rPr>
      </w:pPr>
      <w:r>
        <w:rPr>
          <w:rFonts w:ascii="宋体" w:hAnsi="宋体" w:cs="宋体"/>
          <w:highlight w:val="none"/>
        </w:rPr>
        <w:t>具体验收标准和依据由监理单位根据具体项目情况提出，项目业主审定。</w:t>
      </w:r>
    </w:p>
    <w:p>
      <w:pPr>
        <w:pStyle w:val="3"/>
        <w:bidi w:val="0"/>
        <w:ind w:left="482" w:leftChars="0" w:hanging="425" w:firstLineChars="0"/>
        <w:rPr>
          <w:highlight w:val="none"/>
        </w:rPr>
      </w:pPr>
      <w:bookmarkStart w:id="226" w:name="_Toc18056"/>
      <w:bookmarkStart w:id="227" w:name="_Toc24042990"/>
      <w:bookmarkStart w:id="228" w:name="_Toc11848"/>
      <w:r>
        <w:rPr>
          <w:highlight w:val="none"/>
        </w:rPr>
        <w:t>验收内容和标准</w:t>
      </w:r>
      <w:bookmarkEnd w:id="226"/>
      <w:bookmarkEnd w:id="227"/>
      <w:bookmarkEnd w:id="228"/>
    </w:p>
    <w:p>
      <w:pPr>
        <w:spacing w:before="120" w:after="120"/>
        <w:ind w:firstLine="480"/>
        <w:rPr>
          <w:rFonts w:ascii="宋体" w:hAnsi="宋体" w:cs="宋体"/>
          <w:highlight w:val="none"/>
        </w:rPr>
      </w:pPr>
      <w:r>
        <w:rPr>
          <w:rFonts w:ascii="宋体" w:hAnsi="宋体" w:cs="宋体"/>
          <w:highlight w:val="none"/>
        </w:rPr>
        <w:t>根据具体项目实际制定，由项目监理单位负责编写，项目业主审定。项目验收标准是判断项目成果是否达到要求的依据，因而应具有科学性和权威性，只有制定科学的标准，才能有效地验收项目结果。 验收内容一般包括测试（复核）、资料评审、质量鉴定三部分。</w:t>
      </w:r>
    </w:p>
    <w:p>
      <w:pPr>
        <w:spacing w:before="120" w:after="120"/>
        <w:ind w:firstLine="480"/>
        <w:rPr>
          <w:rFonts w:ascii="宋体" w:hAnsi="宋体" w:cs="宋体"/>
          <w:highlight w:val="none"/>
        </w:rPr>
      </w:pPr>
      <w:r>
        <w:rPr>
          <w:rFonts w:ascii="宋体" w:hAnsi="宋体" w:cs="宋体"/>
          <w:highlight w:val="none"/>
        </w:rPr>
        <w:t>验收的内容包括以下几个部分：</w:t>
      </w:r>
    </w:p>
    <w:p>
      <w:pPr>
        <w:spacing w:before="120" w:after="120"/>
        <w:ind w:firstLine="480"/>
        <w:rPr>
          <w:rFonts w:hint="eastAsia" w:ascii="宋体" w:hAnsi="宋体" w:eastAsia="宋体" w:cs="宋体"/>
          <w:highlight w:val="none"/>
          <w:lang w:eastAsia="zh-CN"/>
        </w:rPr>
      </w:pPr>
      <w:r>
        <w:rPr>
          <w:rFonts w:ascii="宋体" w:hAnsi="宋体" w:cs="宋体"/>
          <w:highlight w:val="none"/>
        </w:rPr>
        <w:t>（一）验收内容</w:t>
      </w:r>
      <w:r>
        <w:rPr>
          <w:rFonts w:hint="eastAsia" w:ascii="宋体" w:hAnsi="宋体" w:cs="宋体"/>
          <w:highlight w:val="none"/>
          <w:lang w:val="en-US" w:eastAsia="zh-CN"/>
        </w:rPr>
        <w:t>包括：</w:t>
      </w:r>
      <w:r>
        <w:rPr>
          <w:rFonts w:ascii="宋体" w:hAnsi="宋体" w:cs="宋体"/>
          <w:highlight w:val="none"/>
        </w:rPr>
        <w:t>设备的型号、设备外观、设备相应附件、设备运行、网络运行等</w:t>
      </w:r>
      <w:r>
        <w:rPr>
          <w:rFonts w:hint="eastAsia" w:ascii="宋体" w:hAnsi="宋体" w:cs="宋体"/>
          <w:highlight w:val="none"/>
          <w:lang w:eastAsia="zh-CN"/>
        </w:rPr>
        <w:t>；</w:t>
      </w:r>
    </w:p>
    <w:p>
      <w:pPr>
        <w:spacing w:before="120" w:after="120"/>
        <w:ind w:firstLine="480"/>
        <w:rPr>
          <w:rFonts w:ascii="宋体" w:hAnsi="宋体" w:cs="宋体"/>
          <w:highlight w:val="none"/>
        </w:rPr>
      </w:pPr>
      <w:r>
        <w:rPr>
          <w:rFonts w:ascii="宋体" w:hAnsi="宋体" w:cs="宋体"/>
          <w:highlight w:val="none"/>
        </w:rPr>
        <w:t>（二）验收评测工作主要包括：文档分析、方案制定、现场测试、问题单提交、测试报告；</w:t>
      </w:r>
    </w:p>
    <w:p>
      <w:pPr>
        <w:spacing w:before="120" w:after="120"/>
        <w:ind w:firstLine="480"/>
        <w:rPr>
          <w:rFonts w:ascii="宋体" w:hAnsi="宋体" w:cs="宋体"/>
          <w:highlight w:val="none"/>
        </w:rPr>
      </w:pPr>
      <w:r>
        <w:rPr>
          <w:rFonts w:ascii="宋体" w:hAnsi="宋体" w:cs="宋体"/>
          <w:highlight w:val="none"/>
        </w:rPr>
        <w:t>（三）验收测试内容主要包括：功能度、安全可靠性、易用性、可扩充性、兼容性、效率、资源占用率、用户文档。</w:t>
      </w:r>
    </w:p>
    <w:p>
      <w:pPr>
        <w:spacing w:before="120" w:after="120"/>
        <w:ind w:firstLine="480"/>
        <w:rPr>
          <w:rFonts w:ascii="宋体" w:hAnsi="宋体" w:cs="宋体"/>
          <w:highlight w:val="none"/>
        </w:rPr>
      </w:pPr>
      <w:r>
        <w:rPr>
          <w:rFonts w:ascii="宋体" w:hAnsi="宋体" w:cs="宋体"/>
          <w:highlight w:val="none"/>
        </w:rPr>
        <w:t>（四）文档验收标准一般包括：文档完备性、内容针对性、内容充分性、内容一致性、文字明确性、图表详实性、易读性、文档价值等</w:t>
      </w:r>
    </w:p>
    <w:p>
      <w:pPr>
        <w:spacing w:before="120" w:after="120"/>
        <w:ind w:firstLine="480"/>
        <w:rPr>
          <w:rFonts w:ascii="宋体" w:hAnsi="宋体" w:cs="宋体"/>
          <w:highlight w:val="none"/>
        </w:rPr>
      </w:pPr>
      <w:r>
        <w:rPr>
          <w:rFonts w:ascii="宋体" w:hAnsi="宋体" w:cs="宋体"/>
          <w:highlight w:val="none"/>
        </w:rPr>
        <w:t>（五）软件、硬件验收标准要符合国家和相关标准。</w:t>
      </w:r>
    </w:p>
    <w:p>
      <w:pPr>
        <w:spacing w:before="120" w:after="120"/>
        <w:ind w:firstLine="480"/>
        <w:rPr>
          <w:rFonts w:ascii="宋体" w:hAnsi="宋体" w:cs="宋体"/>
          <w:highlight w:val="none"/>
        </w:rPr>
      </w:pPr>
      <w:r>
        <w:rPr>
          <w:rFonts w:ascii="宋体" w:hAnsi="宋体" w:cs="宋体"/>
          <w:highlight w:val="none"/>
        </w:rPr>
        <w:t>需要评审的资料包括以下几部分：</w:t>
      </w:r>
    </w:p>
    <w:p>
      <w:pPr>
        <w:spacing w:before="120" w:after="120"/>
        <w:ind w:firstLine="480"/>
        <w:rPr>
          <w:rFonts w:ascii="宋体" w:hAnsi="宋体" w:cs="宋体"/>
          <w:highlight w:val="none"/>
        </w:rPr>
      </w:pPr>
      <w:r>
        <w:rPr>
          <w:rFonts w:ascii="宋体" w:hAnsi="宋体" w:cs="宋体"/>
          <w:highlight w:val="none"/>
        </w:rPr>
        <w:t>（一）基础资料：招标书、投标书、有关合同、有关批复文件、系统设计说明书、系统功能说明书、系统结构图、项目详细实施方案。</w:t>
      </w:r>
    </w:p>
    <w:p>
      <w:pPr>
        <w:spacing w:before="120" w:after="120"/>
        <w:ind w:firstLine="480"/>
        <w:rPr>
          <w:rFonts w:ascii="宋体" w:hAnsi="宋体" w:cs="宋体"/>
          <w:highlight w:val="none"/>
        </w:rPr>
      </w:pPr>
      <w:r>
        <w:rPr>
          <w:rFonts w:ascii="宋体" w:hAnsi="宋体" w:cs="宋体"/>
          <w:highlight w:val="none"/>
        </w:rPr>
        <w:t>（二）项目竣工资料：项目开工报告、项目实施报告、项目质量测试报告、项目检查报告、测试报告、材料清单、项目实施质量与安全检查记录、操作使用说明书、售后服务保证文件、培训文档、其他文件。</w:t>
      </w:r>
    </w:p>
    <w:p>
      <w:pPr>
        <w:spacing w:before="120" w:after="120"/>
        <w:ind w:firstLine="480"/>
        <w:rPr>
          <w:rFonts w:ascii="宋体" w:hAnsi="宋体" w:cs="宋体"/>
          <w:highlight w:val="none"/>
        </w:rPr>
      </w:pPr>
      <w:r>
        <w:rPr>
          <w:rFonts w:ascii="宋体" w:hAnsi="宋体" w:cs="宋体"/>
          <w:highlight w:val="none"/>
        </w:rPr>
        <w:t>（三）软件开发文档：需求说明书、概要设计说明书、详细设计说明书、数据库设计说明书、测试计划、测试报告、程序维护手册、程序员开发手册、用户操作手册。</w:t>
      </w:r>
    </w:p>
    <w:p>
      <w:pPr>
        <w:spacing w:before="120" w:after="120"/>
        <w:ind w:firstLine="480"/>
        <w:rPr>
          <w:rFonts w:ascii="宋体" w:hAnsi="宋体" w:cs="宋体"/>
          <w:highlight w:val="none"/>
        </w:rPr>
      </w:pPr>
      <w:r>
        <w:rPr>
          <w:rFonts w:ascii="宋体" w:hAnsi="宋体" w:cs="宋体"/>
          <w:highlight w:val="none"/>
        </w:rPr>
        <w:t>（四）软件开发管理文档：项目计划书、质量控制计划、配置管理计划、用户培训计划、质量总结报告、会议记录和开发进度月报。</w:t>
      </w:r>
    </w:p>
    <w:p>
      <w:pPr>
        <w:pStyle w:val="3"/>
        <w:bidi w:val="0"/>
        <w:ind w:left="482" w:leftChars="0" w:hanging="425" w:firstLineChars="0"/>
        <w:rPr>
          <w:highlight w:val="none"/>
        </w:rPr>
      </w:pPr>
      <w:bookmarkStart w:id="229" w:name="_Toc10050"/>
      <w:bookmarkStart w:id="230" w:name="_Toc24042991"/>
      <w:bookmarkStart w:id="231" w:name="_Toc8235"/>
      <w:r>
        <w:rPr>
          <w:highlight w:val="none"/>
        </w:rPr>
        <w:t>验收结论</w:t>
      </w:r>
      <w:bookmarkEnd w:id="229"/>
      <w:bookmarkEnd w:id="230"/>
      <w:bookmarkEnd w:id="231"/>
    </w:p>
    <w:p>
      <w:pPr>
        <w:spacing w:before="120" w:after="120"/>
        <w:ind w:firstLine="480"/>
        <w:rPr>
          <w:rFonts w:ascii="宋体" w:hAnsi="宋体" w:cs="宋体"/>
          <w:highlight w:val="none"/>
        </w:rPr>
      </w:pPr>
      <w:r>
        <w:rPr>
          <w:rFonts w:ascii="宋体" w:hAnsi="宋体" w:cs="宋体"/>
          <w:highlight w:val="none"/>
        </w:rPr>
        <w:t>验收结果分为：验收合格、需要复议和验收不合格三种。符合信息化项目建设标准、系统运行安全可靠、任务按期保质完成、经费使用合理的，视为验收合格；由于提供材料不详难以判断，或目标任务完成不足80%而又难以确定其原因等导致验收结论争议较大的，视为需要复议。</w:t>
      </w:r>
    </w:p>
    <w:p>
      <w:pPr>
        <w:spacing w:before="120" w:after="120"/>
        <w:ind w:firstLine="480"/>
        <w:rPr>
          <w:rFonts w:ascii="宋体" w:hAnsi="宋体" w:cs="宋体"/>
          <w:highlight w:val="none"/>
        </w:rPr>
      </w:pPr>
      <w:r>
        <w:rPr>
          <w:rFonts w:ascii="宋体" w:hAnsi="宋体" w:cs="宋体"/>
          <w:highlight w:val="none"/>
        </w:rPr>
        <w:t>1、项目凡具有下列情况之一的，按验收不合格处理：</w:t>
      </w:r>
    </w:p>
    <w:p>
      <w:pPr>
        <w:spacing w:before="120" w:after="120"/>
        <w:ind w:firstLine="480"/>
        <w:rPr>
          <w:rFonts w:ascii="宋体" w:hAnsi="宋体" w:cs="宋体"/>
          <w:highlight w:val="none"/>
        </w:rPr>
      </w:pPr>
      <w:r>
        <w:rPr>
          <w:rFonts w:ascii="宋体" w:hAnsi="宋体" w:cs="宋体"/>
          <w:highlight w:val="none"/>
        </w:rPr>
        <w:t>（一）未按项目考核指标或合同要求达到所预定的主要技术指标的；</w:t>
      </w:r>
    </w:p>
    <w:p>
      <w:pPr>
        <w:spacing w:before="120" w:after="120"/>
        <w:ind w:firstLine="480"/>
        <w:rPr>
          <w:rFonts w:ascii="宋体" w:hAnsi="宋体" w:cs="宋体"/>
          <w:highlight w:val="none"/>
        </w:rPr>
      </w:pPr>
      <w:r>
        <w:rPr>
          <w:rFonts w:ascii="宋体" w:hAnsi="宋体" w:cs="宋体"/>
          <w:highlight w:val="none"/>
        </w:rPr>
        <w:t>（二）所提供的验收材料不齐全或不真实的；</w:t>
      </w:r>
    </w:p>
    <w:p>
      <w:pPr>
        <w:spacing w:before="120" w:after="120"/>
        <w:ind w:firstLine="480"/>
        <w:rPr>
          <w:rFonts w:ascii="宋体" w:hAnsi="宋体" w:cs="宋体"/>
          <w:highlight w:val="none"/>
        </w:rPr>
      </w:pPr>
      <w:r>
        <w:rPr>
          <w:rFonts w:ascii="宋体" w:hAnsi="宋体" w:cs="宋体"/>
          <w:highlight w:val="none"/>
        </w:rPr>
        <w:t>（三）项目的内容、目标或技术路线等已进行了较大调整，但未曾得到相关单位认可的；</w:t>
      </w:r>
    </w:p>
    <w:p>
      <w:pPr>
        <w:spacing w:before="120" w:after="120"/>
        <w:ind w:firstLine="480"/>
        <w:rPr>
          <w:rFonts w:ascii="宋体" w:hAnsi="宋体" w:cs="宋体"/>
          <w:highlight w:val="none"/>
        </w:rPr>
      </w:pPr>
      <w:r>
        <w:rPr>
          <w:rFonts w:ascii="宋体" w:hAnsi="宋体" w:cs="宋体"/>
          <w:highlight w:val="none"/>
        </w:rPr>
        <w:t>（四）实施过程中出现重大问题，尚未解决和作出说明，或项目实施过程及结果等存在纠纷尚未解决的；</w:t>
      </w:r>
    </w:p>
    <w:p>
      <w:pPr>
        <w:spacing w:before="120" w:after="120"/>
        <w:ind w:firstLine="480"/>
        <w:rPr>
          <w:rFonts w:ascii="宋体" w:hAnsi="宋体" w:cs="宋体"/>
          <w:highlight w:val="none"/>
        </w:rPr>
      </w:pPr>
      <w:r>
        <w:rPr>
          <w:rFonts w:ascii="宋体" w:hAnsi="宋体" w:cs="宋体"/>
          <w:highlight w:val="none"/>
        </w:rPr>
        <w:t>（五）没有对系统或设备进行试运行，或者试运行不合格；</w:t>
      </w:r>
    </w:p>
    <w:p>
      <w:pPr>
        <w:spacing w:before="120" w:after="120"/>
        <w:ind w:firstLine="480"/>
        <w:rPr>
          <w:rFonts w:ascii="宋体" w:hAnsi="宋体" w:cs="宋体"/>
          <w:highlight w:val="none"/>
        </w:rPr>
      </w:pPr>
      <w:r>
        <w:rPr>
          <w:rFonts w:ascii="宋体" w:hAnsi="宋体" w:cs="宋体"/>
          <w:highlight w:val="none"/>
        </w:rPr>
        <w:t>（六）项目经费使用情况审计发现问题的；</w:t>
      </w:r>
    </w:p>
    <w:p>
      <w:pPr>
        <w:spacing w:before="120" w:after="120"/>
        <w:ind w:firstLine="480"/>
        <w:rPr>
          <w:rFonts w:ascii="宋体" w:hAnsi="宋体" w:cs="宋体"/>
          <w:highlight w:val="none"/>
        </w:rPr>
      </w:pPr>
      <w:r>
        <w:rPr>
          <w:rFonts w:ascii="宋体" w:hAnsi="宋体" w:cs="宋体"/>
          <w:highlight w:val="none"/>
        </w:rPr>
        <w:t>（七）违反法律、法规的其他行为。</w:t>
      </w:r>
    </w:p>
    <w:p>
      <w:pPr>
        <w:spacing w:before="120" w:after="120"/>
        <w:ind w:firstLine="480"/>
        <w:rPr>
          <w:rFonts w:ascii="宋体" w:hAnsi="宋体" w:cs="宋体"/>
          <w:highlight w:val="none"/>
        </w:rPr>
      </w:pPr>
      <w:r>
        <w:rPr>
          <w:rFonts w:ascii="宋体" w:hAnsi="宋体" w:cs="宋体"/>
          <w:highlight w:val="none"/>
        </w:rPr>
        <w:t>2、验收结论确认和处理</w:t>
      </w:r>
    </w:p>
    <w:p>
      <w:pPr>
        <w:spacing w:before="120" w:after="120"/>
        <w:ind w:firstLine="480"/>
        <w:rPr>
          <w:rFonts w:ascii="宋体" w:hAnsi="宋体" w:cs="宋体"/>
          <w:highlight w:val="none"/>
        </w:rPr>
        <w:sectPr>
          <w:headerReference r:id="rId13" w:type="default"/>
          <w:pgSz w:w="11906" w:h="16838"/>
          <w:pgMar w:top="1440" w:right="1797" w:bottom="1440" w:left="1797" w:header="567" w:footer="992" w:gutter="0"/>
          <w:pgNumType w:fmt="decimal"/>
          <w:cols w:space="0" w:num="1"/>
          <w:docGrid w:type="lines" w:linePitch="312" w:charSpace="0"/>
        </w:sectPr>
      </w:pPr>
      <w:r>
        <w:rPr>
          <w:rFonts w:ascii="宋体" w:hAnsi="宋体" w:cs="宋体"/>
          <w:highlight w:val="none"/>
        </w:rPr>
        <w:t>由相关部门根据验收意见和相关资料得出结论，并进行确认。</w:t>
      </w:r>
    </w:p>
    <w:p>
      <w:pPr>
        <w:pStyle w:val="2"/>
        <w:keepNext/>
        <w:keepLines/>
        <w:pageBreakBefore/>
        <w:widowControl w:val="0"/>
        <w:kinsoku/>
        <w:wordWrap/>
        <w:overflowPunct/>
        <w:topLinePunct w:val="0"/>
        <w:autoSpaceDE/>
        <w:autoSpaceDN/>
        <w:bidi w:val="0"/>
        <w:adjustRightInd/>
        <w:snapToGrid/>
        <w:ind w:left="482" w:leftChars="0" w:hanging="425" w:firstLineChars="0"/>
        <w:jc w:val="center"/>
        <w:textAlignment w:val="auto"/>
        <w:rPr>
          <w:rFonts w:ascii="宋体" w:hAnsi="宋体" w:cs="宋体"/>
          <w:highlight w:val="none"/>
        </w:rPr>
      </w:pPr>
      <w:bookmarkStart w:id="232" w:name="_Toc332"/>
      <w:r>
        <w:rPr>
          <w:rFonts w:hint="eastAsia"/>
          <w:highlight w:val="none"/>
          <w:lang w:val="en-US" w:eastAsia="zh-CN"/>
        </w:rPr>
        <w:t>项目设计图纸</w:t>
      </w:r>
      <w:bookmarkEnd w:id="232"/>
    </w:p>
    <w:p>
      <w:pPr>
        <w:spacing w:before="120" w:after="120"/>
        <w:ind w:left="0" w:leftChars="0" w:firstLine="0" w:firstLineChars="0"/>
        <w:rPr>
          <w:rFonts w:hint="eastAsia" w:ascii="宋体" w:hAnsi="宋体" w:cs="宋体"/>
          <w:highlight w:val="none"/>
          <w:lang w:val="en-US" w:eastAsia="zh-CN"/>
        </w:rPr>
      </w:pPr>
      <w:r>
        <w:rPr>
          <w:rFonts w:hint="eastAsia" w:ascii="宋体" w:hAnsi="宋体" w:cs="宋体"/>
          <w:highlight w:val="none"/>
          <w:lang w:val="en-US" w:eastAsia="zh-CN"/>
        </w:rPr>
        <w:t>本项目设计图纸如下：</w:t>
      </w:r>
    </w:p>
    <w:p>
      <w:pPr>
        <w:spacing w:before="120" w:after="120"/>
        <w:ind w:left="0" w:leftChars="0" w:firstLine="0" w:firstLineChars="0"/>
        <w:rPr>
          <w:rFonts w:hint="eastAsia" w:ascii="宋体" w:hAnsi="宋体" w:cs="宋体"/>
          <w:highlight w:val="none"/>
          <w:lang w:val="en-US" w:eastAsia="zh-CN"/>
        </w:rPr>
        <w:sectPr>
          <w:pgSz w:w="11906" w:h="16838"/>
          <w:pgMar w:top="1440" w:right="1797" w:bottom="1440" w:left="1797" w:header="567" w:footer="992" w:gutter="0"/>
          <w:pgNumType w:fmt="decimal"/>
          <w:cols w:space="0" w:num="1"/>
          <w:docGrid w:type="lines" w:linePitch="312" w:charSpace="0"/>
        </w:sectPr>
      </w:pPr>
    </w:p>
    <w:p>
      <w:pPr>
        <w:spacing w:before="120" w:after="120"/>
        <w:ind w:firstLine="4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drawing>
          <wp:inline distT="0" distB="0" distL="114300" distR="114300">
            <wp:extent cx="9076690" cy="6419850"/>
            <wp:effectExtent l="0" t="0" r="10160" b="0"/>
            <wp:docPr id="88" name="图片 88" descr="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1_1"/>
                    <pic:cNvPicPr>
                      <a:picLocks noChangeAspect="1"/>
                    </pic:cNvPicPr>
                  </pic:nvPicPr>
                  <pic:blipFill>
                    <a:blip r:embed="rId64"/>
                    <a:stretch>
                      <a:fillRect/>
                    </a:stretch>
                  </pic:blipFill>
                  <pic:spPr>
                    <a:xfrm>
                      <a:off x="0" y="0"/>
                      <a:ext cx="9076690" cy="6419850"/>
                    </a:xfrm>
                    <a:prstGeom prst="rect">
                      <a:avLst/>
                    </a:prstGeom>
                  </pic:spPr>
                </pic:pic>
              </a:graphicData>
            </a:graphic>
          </wp:inline>
        </w:drawing>
      </w:r>
    </w:p>
    <w:p>
      <w:pPr>
        <w:spacing w:before="120" w:after="120"/>
        <w:ind w:firstLine="48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drawing>
          <wp:inline distT="0" distB="0" distL="114300" distR="114300">
            <wp:extent cx="9288145" cy="6569710"/>
            <wp:effectExtent l="0" t="0" r="8255" b="2540"/>
            <wp:docPr id="44" name="图片 44" descr="目录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目录_1"/>
                    <pic:cNvPicPr>
                      <a:picLocks noChangeAspect="1"/>
                    </pic:cNvPicPr>
                  </pic:nvPicPr>
                  <pic:blipFill>
                    <a:blip r:embed="rId65"/>
                    <a:stretch>
                      <a:fillRect/>
                    </a:stretch>
                  </pic:blipFill>
                  <pic:spPr>
                    <a:xfrm>
                      <a:off x="0" y="0"/>
                      <a:ext cx="9288145" cy="6569710"/>
                    </a:xfrm>
                    <a:prstGeom prst="rect">
                      <a:avLst/>
                    </a:prstGeom>
                  </pic:spPr>
                </pic:pic>
              </a:graphicData>
            </a:graphic>
          </wp:inline>
        </w:drawing>
      </w:r>
      <w:r>
        <w:rPr>
          <w:rFonts w:hint="eastAsia" w:ascii="宋体" w:hAnsi="宋体" w:eastAsia="宋体" w:cs="宋体"/>
          <w:highlight w:val="none"/>
          <w:lang w:val="en-US" w:eastAsia="zh-CN"/>
        </w:rPr>
        <w:drawing>
          <wp:inline distT="0" distB="0" distL="114300" distR="114300">
            <wp:extent cx="9147175" cy="6470015"/>
            <wp:effectExtent l="0" t="0" r="15875" b="6985"/>
            <wp:docPr id="86" name="图片 86" descr="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3_1"/>
                    <pic:cNvPicPr>
                      <a:picLocks noChangeAspect="1"/>
                    </pic:cNvPicPr>
                  </pic:nvPicPr>
                  <pic:blipFill>
                    <a:blip r:embed="rId66"/>
                    <a:stretch>
                      <a:fillRect/>
                    </a:stretch>
                  </pic:blipFill>
                  <pic:spPr>
                    <a:xfrm>
                      <a:off x="0" y="0"/>
                      <a:ext cx="9147175" cy="6470015"/>
                    </a:xfrm>
                    <a:prstGeom prst="rect">
                      <a:avLst/>
                    </a:prstGeom>
                  </pic:spPr>
                </pic:pic>
              </a:graphicData>
            </a:graphic>
          </wp:inline>
        </w:drawing>
      </w:r>
      <w:r>
        <w:rPr>
          <w:rFonts w:hint="eastAsia" w:ascii="宋体" w:hAnsi="宋体" w:eastAsia="宋体" w:cs="宋体"/>
          <w:highlight w:val="none"/>
          <w:lang w:val="en-US" w:eastAsia="zh-CN"/>
        </w:rPr>
        <w:drawing>
          <wp:inline distT="0" distB="0" distL="114300" distR="114300">
            <wp:extent cx="9288145" cy="6569710"/>
            <wp:effectExtent l="0" t="0" r="8255" b="2540"/>
            <wp:docPr id="35" name="图片 35" descr="PM0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PM02_1"/>
                    <pic:cNvPicPr>
                      <a:picLocks noChangeAspect="1"/>
                    </pic:cNvPicPr>
                  </pic:nvPicPr>
                  <pic:blipFill>
                    <a:blip r:embed="rId67"/>
                    <a:stretch>
                      <a:fillRect/>
                    </a:stretch>
                  </pic:blipFill>
                  <pic:spPr>
                    <a:xfrm>
                      <a:off x="0" y="0"/>
                      <a:ext cx="9288145" cy="6569710"/>
                    </a:xfrm>
                    <a:prstGeom prst="rect">
                      <a:avLst/>
                    </a:prstGeom>
                  </pic:spPr>
                </pic:pic>
              </a:graphicData>
            </a:graphic>
          </wp:inline>
        </w:drawing>
      </w:r>
      <w:r>
        <w:rPr>
          <w:rFonts w:hint="eastAsia" w:ascii="宋体" w:hAnsi="宋体" w:eastAsia="宋体" w:cs="宋体"/>
          <w:highlight w:val="none"/>
          <w:lang w:val="en-US" w:eastAsia="zh-CN"/>
        </w:rPr>
        <w:drawing>
          <wp:inline distT="0" distB="0" distL="114300" distR="114300">
            <wp:extent cx="9067800" cy="6414135"/>
            <wp:effectExtent l="0" t="0" r="0" b="5715"/>
            <wp:docPr id="84" name="图片 84" descr="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5_1"/>
                    <pic:cNvPicPr>
                      <a:picLocks noChangeAspect="1"/>
                    </pic:cNvPicPr>
                  </pic:nvPicPr>
                  <pic:blipFill>
                    <a:blip r:embed="rId68"/>
                    <a:stretch>
                      <a:fillRect/>
                    </a:stretch>
                  </pic:blipFill>
                  <pic:spPr>
                    <a:xfrm>
                      <a:off x="0" y="0"/>
                      <a:ext cx="9067800" cy="6414135"/>
                    </a:xfrm>
                    <a:prstGeom prst="rect">
                      <a:avLst/>
                    </a:prstGeom>
                  </pic:spPr>
                </pic:pic>
              </a:graphicData>
            </a:graphic>
          </wp:inline>
        </w:drawing>
      </w:r>
      <w:r>
        <w:rPr>
          <w:rFonts w:hint="eastAsia" w:ascii="宋体" w:hAnsi="宋体" w:eastAsia="宋体" w:cs="宋体"/>
          <w:highlight w:val="none"/>
          <w:lang w:val="en-US" w:eastAsia="zh-CN"/>
        </w:rPr>
        <w:drawing>
          <wp:inline distT="0" distB="0" distL="114300" distR="114300">
            <wp:extent cx="9146540" cy="6469380"/>
            <wp:effectExtent l="0" t="0" r="16510" b="7620"/>
            <wp:docPr id="83" name="图片 83" descr="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6_1"/>
                    <pic:cNvPicPr>
                      <a:picLocks noChangeAspect="1"/>
                    </pic:cNvPicPr>
                  </pic:nvPicPr>
                  <pic:blipFill>
                    <a:blip r:embed="rId69"/>
                    <a:stretch>
                      <a:fillRect/>
                    </a:stretch>
                  </pic:blipFill>
                  <pic:spPr>
                    <a:xfrm>
                      <a:off x="0" y="0"/>
                      <a:ext cx="9146540" cy="6469380"/>
                    </a:xfrm>
                    <a:prstGeom prst="rect">
                      <a:avLst/>
                    </a:prstGeom>
                  </pic:spPr>
                </pic:pic>
              </a:graphicData>
            </a:graphic>
          </wp:inline>
        </w:drawing>
      </w:r>
      <w:r>
        <w:rPr>
          <w:rFonts w:hint="eastAsia" w:ascii="宋体" w:hAnsi="宋体" w:eastAsia="宋体" w:cs="宋体"/>
          <w:highlight w:val="none"/>
          <w:lang w:val="en-US" w:eastAsia="zh-CN"/>
        </w:rPr>
        <w:drawing>
          <wp:inline distT="0" distB="0" distL="114300" distR="114300">
            <wp:extent cx="9111615" cy="6444615"/>
            <wp:effectExtent l="0" t="0" r="13335" b="13335"/>
            <wp:docPr id="82" name="图片 82" descr="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7_1"/>
                    <pic:cNvPicPr>
                      <a:picLocks noChangeAspect="1"/>
                    </pic:cNvPicPr>
                  </pic:nvPicPr>
                  <pic:blipFill>
                    <a:blip r:embed="rId70"/>
                    <a:stretch>
                      <a:fillRect/>
                    </a:stretch>
                  </pic:blipFill>
                  <pic:spPr>
                    <a:xfrm>
                      <a:off x="0" y="0"/>
                      <a:ext cx="9111615" cy="6444615"/>
                    </a:xfrm>
                    <a:prstGeom prst="rect">
                      <a:avLst/>
                    </a:prstGeom>
                  </pic:spPr>
                </pic:pic>
              </a:graphicData>
            </a:graphic>
          </wp:inline>
        </w:drawing>
      </w:r>
      <w:r>
        <w:rPr>
          <w:rFonts w:hint="eastAsia" w:ascii="宋体" w:hAnsi="宋体" w:eastAsia="宋体" w:cs="宋体"/>
          <w:highlight w:val="none"/>
          <w:lang w:val="en-US" w:eastAsia="zh-CN"/>
        </w:rPr>
        <w:drawing>
          <wp:inline distT="0" distB="0" distL="114300" distR="114300">
            <wp:extent cx="9067800" cy="6414135"/>
            <wp:effectExtent l="0" t="0" r="0" b="5715"/>
            <wp:docPr id="81" name="图片 81" descr="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8_1"/>
                    <pic:cNvPicPr>
                      <a:picLocks noChangeAspect="1"/>
                    </pic:cNvPicPr>
                  </pic:nvPicPr>
                  <pic:blipFill>
                    <a:blip r:embed="rId71"/>
                    <a:stretch>
                      <a:fillRect/>
                    </a:stretch>
                  </pic:blipFill>
                  <pic:spPr>
                    <a:xfrm>
                      <a:off x="0" y="0"/>
                      <a:ext cx="9067800" cy="6414135"/>
                    </a:xfrm>
                    <a:prstGeom prst="rect">
                      <a:avLst/>
                    </a:prstGeom>
                  </pic:spPr>
                </pic:pic>
              </a:graphicData>
            </a:graphic>
          </wp:inline>
        </w:drawing>
      </w:r>
      <w:r>
        <w:rPr>
          <w:rFonts w:hint="eastAsia" w:ascii="宋体" w:hAnsi="宋体" w:eastAsia="宋体" w:cs="宋体"/>
          <w:highlight w:val="none"/>
          <w:lang w:val="en-US" w:eastAsia="zh-CN"/>
        </w:rPr>
        <w:drawing>
          <wp:inline distT="0" distB="0" distL="114300" distR="114300">
            <wp:extent cx="9138285" cy="6463665"/>
            <wp:effectExtent l="0" t="0" r="5715" b="13335"/>
            <wp:docPr id="79" name="图片 79" descr="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9_1"/>
                    <pic:cNvPicPr>
                      <a:picLocks noChangeAspect="1"/>
                    </pic:cNvPicPr>
                  </pic:nvPicPr>
                  <pic:blipFill>
                    <a:blip r:embed="rId72"/>
                    <a:stretch>
                      <a:fillRect/>
                    </a:stretch>
                  </pic:blipFill>
                  <pic:spPr>
                    <a:xfrm>
                      <a:off x="0" y="0"/>
                      <a:ext cx="9138285" cy="6463665"/>
                    </a:xfrm>
                    <a:prstGeom prst="rect">
                      <a:avLst/>
                    </a:prstGeom>
                  </pic:spPr>
                </pic:pic>
              </a:graphicData>
            </a:graphic>
          </wp:inline>
        </w:drawing>
      </w:r>
      <w:r>
        <w:rPr>
          <w:rFonts w:hint="eastAsia" w:ascii="宋体" w:hAnsi="宋体" w:eastAsia="宋体" w:cs="宋体"/>
          <w:highlight w:val="none"/>
          <w:lang w:val="en-US" w:eastAsia="zh-CN"/>
        </w:rPr>
        <w:drawing>
          <wp:inline distT="0" distB="0" distL="114300" distR="114300">
            <wp:extent cx="9114790" cy="6447155"/>
            <wp:effectExtent l="0" t="0" r="10160" b="10795"/>
            <wp:docPr id="78" name="图片 78" descr="1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10_1"/>
                    <pic:cNvPicPr>
                      <a:picLocks noChangeAspect="1"/>
                    </pic:cNvPicPr>
                  </pic:nvPicPr>
                  <pic:blipFill>
                    <a:blip r:embed="rId73"/>
                    <a:stretch>
                      <a:fillRect/>
                    </a:stretch>
                  </pic:blipFill>
                  <pic:spPr>
                    <a:xfrm>
                      <a:off x="0" y="0"/>
                      <a:ext cx="9114790" cy="6447155"/>
                    </a:xfrm>
                    <a:prstGeom prst="rect">
                      <a:avLst/>
                    </a:prstGeom>
                  </pic:spPr>
                </pic:pic>
              </a:graphicData>
            </a:graphic>
          </wp:inline>
        </w:drawing>
      </w:r>
      <w:r>
        <w:rPr>
          <w:rFonts w:hint="eastAsia" w:ascii="宋体" w:hAnsi="宋体" w:eastAsia="宋体" w:cs="宋体"/>
          <w:highlight w:val="none"/>
          <w:lang w:val="en-US" w:eastAsia="zh-CN"/>
        </w:rPr>
        <w:drawing>
          <wp:inline distT="0" distB="0" distL="114300" distR="114300">
            <wp:extent cx="9111615" cy="6444615"/>
            <wp:effectExtent l="0" t="0" r="13335" b="13335"/>
            <wp:docPr id="77" name="图片 77" descr="1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11_1"/>
                    <pic:cNvPicPr>
                      <a:picLocks noChangeAspect="1"/>
                    </pic:cNvPicPr>
                  </pic:nvPicPr>
                  <pic:blipFill>
                    <a:blip r:embed="rId74"/>
                    <a:stretch>
                      <a:fillRect/>
                    </a:stretch>
                  </pic:blipFill>
                  <pic:spPr>
                    <a:xfrm>
                      <a:off x="0" y="0"/>
                      <a:ext cx="9111615" cy="6444615"/>
                    </a:xfrm>
                    <a:prstGeom prst="rect">
                      <a:avLst/>
                    </a:prstGeom>
                  </pic:spPr>
                </pic:pic>
              </a:graphicData>
            </a:graphic>
          </wp:inline>
        </w:drawing>
      </w:r>
      <w:r>
        <w:rPr>
          <w:rFonts w:hint="eastAsia" w:ascii="宋体" w:hAnsi="宋体" w:eastAsia="宋体" w:cs="宋体"/>
          <w:highlight w:val="none"/>
          <w:lang w:val="en-US" w:eastAsia="zh-CN"/>
        </w:rPr>
        <w:drawing>
          <wp:inline distT="0" distB="0" distL="114300" distR="114300">
            <wp:extent cx="9041130" cy="6395085"/>
            <wp:effectExtent l="0" t="0" r="7620" b="5715"/>
            <wp:docPr id="76" name="图片 76" descr="1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12_1"/>
                    <pic:cNvPicPr>
                      <a:picLocks noChangeAspect="1"/>
                    </pic:cNvPicPr>
                  </pic:nvPicPr>
                  <pic:blipFill>
                    <a:blip r:embed="rId75"/>
                    <a:stretch>
                      <a:fillRect/>
                    </a:stretch>
                  </pic:blipFill>
                  <pic:spPr>
                    <a:xfrm>
                      <a:off x="0" y="0"/>
                      <a:ext cx="9041130" cy="6395085"/>
                    </a:xfrm>
                    <a:prstGeom prst="rect">
                      <a:avLst/>
                    </a:prstGeom>
                  </pic:spPr>
                </pic:pic>
              </a:graphicData>
            </a:graphic>
          </wp:inline>
        </w:drawing>
      </w:r>
      <w:r>
        <w:rPr>
          <w:rFonts w:hint="eastAsia" w:ascii="宋体" w:hAnsi="宋体" w:eastAsia="宋体" w:cs="宋体"/>
          <w:highlight w:val="none"/>
          <w:lang w:val="en-US" w:eastAsia="zh-CN"/>
        </w:rPr>
        <w:drawing>
          <wp:inline distT="0" distB="0" distL="114300" distR="114300">
            <wp:extent cx="9125585" cy="6454775"/>
            <wp:effectExtent l="0" t="0" r="18415" b="3175"/>
            <wp:docPr id="75" name="图片 75" descr="1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13_1"/>
                    <pic:cNvPicPr>
                      <a:picLocks noChangeAspect="1"/>
                    </pic:cNvPicPr>
                  </pic:nvPicPr>
                  <pic:blipFill>
                    <a:blip r:embed="rId76"/>
                    <a:stretch>
                      <a:fillRect/>
                    </a:stretch>
                  </pic:blipFill>
                  <pic:spPr>
                    <a:xfrm>
                      <a:off x="0" y="0"/>
                      <a:ext cx="9125585" cy="6454775"/>
                    </a:xfrm>
                    <a:prstGeom prst="rect">
                      <a:avLst/>
                    </a:prstGeom>
                  </pic:spPr>
                </pic:pic>
              </a:graphicData>
            </a:graphic>
          </wp:inline>
        </w:drawing>
      </w:r>
      <w:r>
        <w:rPr>
          <w:rFonts w:hint="eastAsia" w:ascii="宋体" w:hAnsi="宋体" w:eastAsia="宋体" w:cs="宋体"/>
          <w:highlight w:val="none"/>
          <w:lang w:val="en-US" w:eastAsia="zh-CN"/>
        </w:rPr>
        <w:drawing>
          <wp:inline distT="0" distB="0" distL="114300" distR="114300">
            <wp:extent cx="9121775" cy="6452235"/>
            <wp:effectExtent l="0" t="0" r="3175" b="5715"/>
            <wp:docPr id="74" name="图片 74" descr="1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14_1"/>
                    <pic:cNvPicPr>
                      <a:picLocks noChangeAspect="1"/>
                    </pic:cNvPicPr>
                  </pic:nvPicPr>
                  <pic:blipFill>
                    <a:blip r:embed="rId77"/>
                    <a:stretch>
                      <a:fillRect/>
                    </a:stretch>
                  </pic:blipFill>
                  <pic:spPr>
                    <a:xfrm>
                      <a:off x="0" y="0"/>
                      <a:ext cx="9121775" cy="6452235"/>
                    </a:xfrm>
                    <a:prstGeom prst="rect">
                      <a:avLst/>
                    </a:prstGeom>
                  </pic:spPr>
                </pic:pic>
              </a:graphicData>
            </a:graphic>
          </wp:inline>
        </w:drawing>
      </w:r>
      <w:r>
        <w:rPr>
          <w:rFonts w:hint="eastAsia" w:ascii="宋体" w:hAnsi="宋体" w:eastAsia="宋体" w:cs="宋体"/>
          <w:highlight w:val="none"/>
          <w:lang w:val="en-US" w:eastAsia="zh-CN"/>
        </w:rPr>
        <w:drawing>
          <wp:inline distT="0" distB="0" distL="114300" distR="114300">
            <wp:extent cx="9288145" cy="6569710"/>
            <wp:effectExtent l="0" t="0" r="0" b="0"/>
            <wp:docPr id="37" name="图片 37" descr="PM1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PM13_1"/>
                    <pic:cNvPicPr>
                      <a:picLocks noChangeAspect="1"/>
                    </pic:cNvPicPr>
                  </pic:nvPicPr>
                  <pic:blipFill>
                    <a:blip r:embed="rId78"/>
                    <a:stretch>
                      <a:fillRect/>
                    </a:stretch>
                  </pic:blipFill>
                  <pic:spPr>
                    <a:xfrm>
                      <a:off x="0" y="0"/>
                      <a:ext cx="9288145" cy="6569710"/>
                    </a:xfrm>
                    <a:prstGeom prst="rect">
                      <a:avLst/>
                    </a:prstGeom>
                  </pic:spPr>
                </pic:pic>
              </a:graphicData>
            </a:graphic>
          </wp:inline>
        </w:drawing>
      </w:r>
      <w:r>
        <w:rPr>
          <w:rFonts w:hint="eastAsia" w:ascii="宋体" w:hAnsi="宋体" w:eastAsia="宋体" w:cs="宋体"/>
          <w:highlight w:val="none"/>
          <w:lang w:val="en-US" w:eastAsia="zh-CN"/>
        </w:rPr>
        <w:drawing>
          <wp:inline distT="0" distB="0" distL="114300" distR="114300">
            <wp:extent cx="9015730" cy="6377305"/>
            <wp:effectExtent l="0" t="0" r="13970" b="4445"/>
            <wp:docPr id="73" name="图片 73" descr="1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15_1"/>
                    <pic:cNvPicPr>
                      <a:picLocks noChangeAspect="1"/>
                    </pic:cNvPicPr>
                  </pic:nvPicPr>
                  <pic:blipFill>
                    <a:blip r:embed="rId79"/>
                    <a:stretch>
                      <a:fillRect/>
                    </a:stretch>
                  </pic:blipFill>
                  <pic:spPr>
                    <a:xfrm>
                      <a:off x="0" y="0"/>
                      <a:ext cx="9015730" cy="6377305"/>
                    </a:xfrm>
                    <a:prstGeom prst="rect">
                      <a:avLst/>
                    </a:prstGeom>
                  </pic:spPr>
                </pic:pic>
              </a:graphicData>
            </a:graphic>
          </wp:inline>
        </w:drawing>
      </w:r>
      <w:r>
        <w:rPr>
          <w:rFonts w:hint="eastAsia" w:ascii="宋体" w:hAnsi="宋体" w:eastAsia="宋体" w:cs="宋体"/>
          <w:highlight w:val="none"/>
          <w:lang w:val="en-US" w:eastAsia="zh-CN"/>
        </w:rPr>
        <w:drawing>
          <wp:inline distT="0" distB="0" distL="114300" distR="114300">
            <wp:extent cx="9076690" cy="6419850"/>
            <wp:effectExtent l="0" t="0" r="10160" b="0"/>
            <wp:docPr id="72" name="图片 72" descr="1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16_1"/>
                    <pic:cNvPicPr>
                      <a:picLocks noChangeAspect="1"/>
                    </pic:cNvPicPr>
                  </pic:nvPicPr>
                  <pic:blipFill>
                    <a:blip r:embed="rId80"/>
                    <a:stretch>
                      <a:fillRect/>
                    </a:stretch>
                  </pic:blipFill>
                  <pic:spPr>
                    <a:xfrm>
                      <a:off x="0" y="0"/>
                      <a:ext cx="9076690" cy="6419850"/>
                    </a:xfrm>
                    <a:prstGeom prst="rect">
                      <a:avLst/>
                    </a:prstGeom>
                  </pic:spPr>
                </pic:pic>
              </a:graphicData>
            </a:graphic>
          </wp:inline>
        </w:drawing>
      </w:r>
    </w:p>
    <w:p>
      <w:pPr>
        <w:bidi w:val="0"/>
        <w:ind w:left="0" w:leftChars="0" w:firstLine="0" w:firstLineChars="0"/>
        <w:jc w:val="center"/>
        <w:rPr>
          <w:rFonts w:hint="eastAsia" w:eastAsia="宋体"/>
          <w:lang w:val="en-US" w:eastAsia="zh-CN"/>
        </w:rPr>
      </w:pPr>
      <w:r>
        <w:drawing>
          <wp:inline distT="0" distB="0" distL="114300" distR="114300">
            <wp:extent cx="9149715" cy="6497320"/>
            <wp:effectExtent l="0" t="0" r="13335" b="1778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81"/>
                    <a:stretch>
                      <a:fillRect/>
                    </a:stretch>
                  </pic:blipFill>
                  <pic:spPr>
                    <a:xfrm>
                      <a:off x="0" y="0"/>
                      <a:ext cx="9149715" cy="6497320"/>
                    </a:xfrm>
                    <a:prstGeom prst="rect">
                      <a:avLst/>
                    </a:prstGeom>
                    <a:noFill/>
                    <a:ln>
                      <a:noFill/>
                    </a:ln>
                  </pic:spPr>
                </pic:pic>
              </a:graphicData>
            </a:graphic>
          </wp:inline>
        </w:drawing>
      </w:r>
      <w:r>
        <w:rPr>
          <w:rFonts w:hint="eastAsia" w:eastAsia="宋体"/>
          <w:lang w:val="en-US" w:eastAsia="zh-CN"/>
        </w:rPr>
        <w:drawing>
          <wp:inline distT="0" distB="0" distL="114300" distR="114300">
            <wp:extent cx="9288145" cy="6569710"/>
            <wp:effectExtent l="0" t="0" r="0" b="0"/>
            <wp:docPr id="39" name="图片 39" descr="XT0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XT04_1"/>
                    <pic:cNvPicPr>
                      <a:picLocks noChangeAspect="1"/>
                    </pic:cNvPicPr>
                  </pic:nvPicPr>
                  <pic:blipFill>
                    <a:blip r:embed="rId82"/>
                    <a:stretch>
                      <a:fillRect/>
                    </a:stretch>
                  </pic:blipFill>
                  <pic:spPr>
                    <a:xfrm>
                      <a:off x="0" y="0"/>
                      <a:ext cx="9288145" cy="6569710"/>
                    </a:xfrm>
                    <a:prstGeom prst="rect">
                      <a:avLst/>
                    </a:prstGeom>
                  </pic:spPr>
                </pic:pic>
              </a:graphicData>
            </a:graphic>
          </wp:inline>
        </w:drawing>
      </w:r>
    </w:p>
    <w:p>
      <w:pPr>
        <w:bidi w:val="0"/>
        <w:ind w:left="0" w:leftChars="0" w:firstLine="0" w:firstLineChars="0"/>
        <w:jc w:val="center"/>
        <w:rPr>
          <w:rFonts w:hint="eastAsia"/>
          <w:lang w:val="en-US" w:eastAsia="zh-CN"/>
        </w:rPr>
      </w:pPr>
      <w:r>
        <w:drawing>
          <wp:inline distT="0" distB="0" distL="114300" distR="114300">
            <wp:extent cx="9173210" cy="6527165"/>
            <wp:effectExtent l="0" t="0" r="8890" b="6985"/>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83"/>
                    <a:stretch>
                      <a:fillRect/>
                    </a:stretch>
                  </pic:blipFill>
                  <pic:spPr>
                    <a:xfrm>
                      <a:off x="0" y="0"/>
                      <a:ext cx="9173210" cy="6527165"/>
                    </a:xfrm>
                    <a:prstGeom prst="rect">
                      <a:avLst/>
                    </a:prstGeom>
                    <a:noFill/>
                    <a:ln>
                      <a:noFill/>
                    </a:ln>
                  </pic:spPr>
                </pic:pic>
              </a:graphicData>
            </a:graphic>
          </wp:inline>
        </w:drawing>
      </w:r>
    </w:p>
    <w:p>
      <w:pPr>
        <w:bidi w:val="0"/>
        <w:rPr>
          <w:rFonts w:hint="eastAsia"/>
          <w:lang w:val="en-US" w:eastAsia="zh-CN"/>
        </w:rPr>
        <w:sectPr>
          <w:pgSz w:w="16838" w:h="11906" w:orient="landscape"/>
          <w:pgMar w:top="720" w:right="720" w:bottom="794" w:left="720" w:header="454" w:footer="454" w:gutter="0"/>
          <w:pgNumType w:fmt="decimal"/>
          <w:cols w:space="0" w:num="1"/>
          <w:docGrid w:type="lines" w:linePitch="312" w:charSpace="0"/>
        </w:sectPr>
      </w:pPr>
    </w:p>
    <w:p>
      <w:pPr>
        <w:pStyle w:val="2"/>
        <w:keepNext/>
        <w:keepLines/>
        <w:pageBreakBefore/>
        <w:widowControl w:val="0"/>
        <w:kinsoku/>
        <w:wordWrap/>
        <w:overflowPunct/>
        <w:topLinePunct w:val="0"/>
        <w:autoSpaceDE/>
        <w:autoSpaceDN/>
        <w:bidi w:val="0"/>
        <w:adjustRightInd/>
        <w:snapToGrid/>
        <w:ind w:left="482" w:leftChars="0" w:hanging="425" w:firstLineChars="0"/>
        <w:jc w:val="center"/>
        <w:textAlignment w:val="auto"/>
        <w:rPr>
          <w:rFonts w:hint="eastAsia"/>
          <w:highlight w:val="none"/>
        </w:rPr>
      </w:pPr>
      <w:bookmarkStart w:id="233" w:name="_Toc48513811"/>
      <w:bookmarkStart w:id="234" w:name="_Toc25008"/>
      <w:bookmarkStart w:id="235" w:name="_Toc48513924"/>
      <w:bookmarkStart w:id="236" w:name="_Toc21626"/>
      <w:r>
        <w:rPr>
          <w:rFonts w:hint="eastAsia"/>
          <w:highlight w:val="none"/>
        </w:rPr>
        <w:t>概算编制</w:t>
      </w:r>
      <w:bookmarkEnd w:id="233"/>
      <w:bookmarkEnd w:id="234"/>
      <w:bookmarkEnd w:id="235"/>
      <w:bookmarkEnd w:id="236"/>
    </w:p>
    <w:p>
      <w:pPr>
        <w:pStyle w:val="3"/>
        <w:bidi w:val="0"/>
        <w:ind w:left="482" w:leftChars="0" w:hanging="425" w:firstLineChars="0"/>
        <w:rPr>
          <w:highlight w:val="none"/>
        </w:rPr>
      </w:pPr>
      <w:bookmarkStart w:id="237" w:name="_Toc48513926"/>
      <w:bookmarkStart w:id="238" w:name="_Toc48513813"/>
      <w:bookmarkStart w:id="239" w:name="_Toc25283"/>
      <w:bookmarkStart w:id="240" w:name="_Toc26219"/>
      <w:r>
        <w:rPr>
          <w:rFonts w:hint="eastAsia"/>
          <w:highlight w:val="none"/>
        </w:rPr>
        <w:t>编制依据</w:t>
      </w:r>
      <w:bookmarkEnd w:id="237"/>
      <w:bookmarkEnd w:id="238"/>
      <w:bookmarkEnd w:id="239"/>
      <w:bookmarkEnd w:id="240"/>
    </w:p>
    <w:p>
      <w:pPr>
        <w:spacing w:before="120" w:after="120"/>
        <w:ind w:firstLine="480"/>
        <w:rPr>
          <w:rFonts w:ascii="宋体" w:hAnsi="宋体" w:cs="宋体"/>
          <w:highlight w:val="none"/>
        </w:rPr>
      </w:pPr>
      <w:r>
        <w:rPr>
          <w:rFonts w:ascii="宋体" w:hAnsi="宋体" w:cs="宋体"/>
          <w:highlight w:val="none"/>
        </w:rPr>
        <w:t>本次设计</w:t>
      </w:r>
      <w:r>
        <w:rPr>
          <w:rFonts w:hint="eastAsia" w:ascii="宋体" w:hAnsi="宋体" w:cs="宋体"/>
          <w:highlight w:val="none"/>
        </w:rPr>
        <w:t>概算</w:t>
      </w:r>
      <w:r>
        <w:rPr>
          <w:rFonts w:ascii="宋体" w:hAnsi="宋体" w:cs="宋体"/>
          <w:highlight w:val="none"/>
        </w:rPr>
        <w:t>针对本项目中涉及的设备直接采购费用</w:t>
      </w:r>
      <w:r>
        <w:rPr>
          <w:rFonts w:hint="eastAsia" w:ascii="宋体" w:hAnsi="宋体" w:cs="宋体"/>
          <w:highlight w:val="none"/>
        </w:rPr>
        <w:t>、</w:t>
      </w:r>
      <w:r>
        <w:rPr>
          <w:rFonts w:ascii="宋体" w:hAnsi="宋体" w:cs="宋体"/>
          <w:highlight w:val="none"/>
        </w:rPr>
        <w:t>施工费用和税金，按照《电子政务工程造价指导书（第</w:t>
      </w:r>
      <w:r>
        <w:rPr>
          <w:rFonts w:hint="eastAsia" w:ascii="宋体" w:hAnsi="宋体" w:cs="宋体"/>
          <w:highlight w:val="none"/>
        </w:rPr>
        <w:t>三</w:t>
      </w:r>
      <w:r>
        <w:rPr>
          <w:rFonts w:ascii="宋体" w:hAnsi="宋体" w:cs="宋体"/>
          <w:highlight w:val="none"/>
        </w:rPr>
        <w:t>版）》</w:t>
      </w:r>
      <w:r>
        <w:rPr>
          <w:rFonts w:hint="eastAsia" w:ascii="宋体" w:hAnsi="宋体" w:cs="宋体"/>
          <w:highlight w:val="none"/>
        </w:rPr>
        <w:t>、</w:t>
      </w:r>
      <w:r>
        <w:rPr>
          <w:rFonts w:ascii="宋体" w:hAnsi="宋体" w:cs="宋体"/>
          <w:highlight w:val="none"/>
        </w:rPr>
        <w:t>《建设工程监理与相关服务收费管理规定》的通知（发改价格[2007]670 号）文件等相关规定及行业特点进行估算。如需进行工程定额造价编制将交由造价咨询公司按照要求进行编制。</w:t>
      </w:r>
    </w:p>
    <w:p>
      <w:pPr>
        <w:spacing w:before="120" w:after="120"/>
        <w:ind w:firstLine="480"/>
        <w:rPr>
          <w:rFonts w:ascii="宋体" w:hAnsi="宋体" w:cs="宋体"/>
          <w:highlight w:val="none"/>
        </w:rPr>
      </w:pPr>
      <w:r>
        <w:rPr>
          <w:rFonts w:ascii="宋体" w:hAnsi="宋体" w:cs="宋体"/>
          <w:highlight w:val="none"/>
        </w:rPr>
        <w:t>本项目的工程量依据来自于：建设单位提供的图纸；现场实地勘察测量。</w:t>
      </w:r>
    </w:p>
    <w:p>
      <w:pPr>
        <w:pStyle w:val="3"/>
        <w:bidi w:val="0"/>
        <w:ind w:left="482" w:leftChars="0" w:hanging="425" w:firstLineChars="0"/>
        <w:rPr>
          <w:highlight w:val="none"/>
        </w:rPr>
      </w:pPr>
      <w:bookmarkStart w:id="241" w:name="_Toc15332"/>
      <w:bookmarkStart w:id="242" w:name="_Toc48513927"/>
      <w:bookmarkStart w:id="243" w:name="_Toc48513814"/>
      <w:bookmarkStart w:id="244" w:name="_Toc154"/>
      <w:r>
        <w:rPr>
          <w:rFonts w:hint="eastAsia"/>
          <w:highlight w:val="none"/>
        </w:rPr>
        <w:t>各种费率的取定</w:t>
      </w:r>
      <w:bookmarkEnd w:id="241"/>
      <w:bookmarkEnd w:id="242"/>
      <w:bookmarkEnd w:id="243"/>
      <w:bookmarkEnd w:id="244"/>
    </w:p>
    <w:p>
      <w:pPr>
        <w:pStyle w:val="4"/>
        <w:keepNext/>
        <w:keepLines w:val="0"/>
        <w:pageBreakBefore w:val="0"/>
        <w:widowControl w:val="0"/>
        <w:kinsoku/>
        <w:wordWrap/>
        <w:overflowPunct/>
        <w:topLinePunct w:val="0"/>
        <w:autoSpaceDE/>
        <w:autoSpaceDN/>
        <w:bidi w:val="0"/>
        <w:adjustRightInd/>
        <w:snapToGrid/>
        <w:spacing w:before="140" w:after="140" w:line="360" w:lineRule="auto"/>
        <w:ind w:left="482" w:leftChars="0" w:hanging="425" w:firstLineChars="0"/>
        <w:textAlignment w:val="auto"/>
        <w:rPr>
          <w:highlight w:val="none"/>
        </w:rPr>
      </w:pPr>
      <w:bookmarkStart w:id="245" w:name="_Toc4899"/>
      <w:bookmarkStart w:id="246" w:name="_Toc10936"/>
      <w:r>
        <w:rPr>
          <w:highlight w:val="none"/>
        </w:rPr>
        <w:t>系统集成费</w:t>
      </w:r>
      <w:bookmarkEnd w:id="245"/>
      <w:r>
        <w:rPr>
          <w:rFonts w:hint="eastAsia"/>
          <w:highlight w:val="none"/>
          <w:lang w:val="en-US" w:eastAsia="zh-CN"/>
        </w:rPr>
        <w:t>取费说明</w:t>
      </w:r>
      <w:bookmarkEnd w:id="246"/>
    </w:p>
    <w:p>
      <w:pPr>
        <w:spacing w:before="120" w:after="120"/>
        <w:ind w:firstLine="566" w:firstLineChars="236"/>
        <w:rPr>
          <w:b w:val="0"/>
          <w:bCs/>
          <w:highlight w:val="none"/>
        </w:rPr>
      </w:pPr>
      <w:r>
        <w:rPr>
          <w:rFonts w:hint="eastAsia"/>
          <w:highlight w:val="none"/>
        </w:rPr>
        <w:t>本设计</w:t>
      </w:r>
      <w:r>
        <w:rPr>
          <w:highlight w:val="none"/>
        </w:rPr>
        <w:t>费率参照广东省电子政务协会和广东省电子政务技术应用支持联盟编制的《电子政务工程造价指导书（第</w:t>
      </w:r>
      <w:r>
        <w:rPr>
          <w:rFonts w:hint="eastAsia"/>
          <w:highlight w:val="none"/>
        </w:rPr>
        <w:t>三</w:t>
      </w:r>
      <w:r>
        <w:rPr>
          <w:highlight w:val="none"/>
        </w:rPr>
        <w:t>版）》第 131 页，第 5.6.5《系统集成取费指导》章节，对于一些比较成熟的系统集成项目，适用按项目规模计取系统集成费的方法</w:t>
      </w:r>
      <w:r>
        <w:rPr>
          <w:rFonts w:hint="eastAsia"/>
          <w:highlight w:val="none"/>
        </w:rPr>
        <w:t>，</w:t>
      </w:r>
      <w:r>
        <w:rPr>
          <w:highlight w:val="none"/>
        </w:rPr>
        <w:t>表5-38中规定，</w:t>
      </w:r>
      <w:r>
        <w:rPr>
          <w:b w:val="0"/>
          <w:bCs/>
          <w:highlight w:val="none"/>
        </w:rPr>
        <w:t>软</w:t>
      </w:r>
      <w:r>
        <w:rPr>
          <w:rFonts w:hint="eastAsia"/>
          <w:b w:val="0"/>
          <w:bCs/>
          <w:highlight w:val="none"/>
        </w:rPr>
        <w:t>、</w:t>
      </w:r>
      <w:r>
        <w:rPr>
          <w:b w:val="0"/>
          <w:bCs/>
          <w:highlight w:val="none"/>
        </w:rPr>
        <w:t>硬件集成项目，系统集成费取费费率为5%~8%。</w:t>
      </w:r>
    </w:p>
    <w:p>
      <w:pPr>
        <w:spacing w:before="120" w:after="120"/>
        <w:ind w:firstLine="566" w:firstLineChars="236"/>
        <w:rPr>
          <w:highlight w:val="none"/>
        </w:rPr>
      </w:pPr>
      <w:r>
        <w:rPr>
          <w:rFonts w:hint="eastAsia"/>
          <w:highlight w:val="none"/>
          <w:lang w:val="en-US" w:eastAsia="zh-CN"/>
        </w:rPr>
        <w:t>结合本项目</w:t>
      </w:r>
      <w:r>
        <w:rPr>
          <w:rFonts w:hint="eastAsia"/>
          <w:highlight w:val="none"/>
        </w:rPr>
        <w:t>实际情况考虑</w:t>
      </w:r>
      <w:r>
        <w:rPr>
          <w:highlight w:val="none"/>
        </w:rPr>
        <w:t>，集成费按5%收取。</w:t>
      </w:r>
    </w:p>
    <w:p>
      <w:pPr>
        <w:pStyle w:val="4"/>
        <w:keepNext/>
        <w:keepLines w:val="0"/>
        <w:pageBreakBefore w:val="0"/>
        <w:widowControl w:val="0"/>
        <w:kinsoku/>
        <w:wordWrap/>
        <w:overflowPunct/>
        <w:topLinePunct w:val="0"/>
        <w:autoSpaceDE/>
        <w:autoSpaceDN/>
        <w:bidi w:val="0"/>
        <w:adjustRightInd/>
        <w:snapToGrid/>
        <w:spacing w:before="140" w:after="140" w:line="360" w:lineRule="auto"/>
        <w:ind w:left="482" w:leftChars="0" w:hanging="425" w:firstLineChars="0"/>
        <w:textAlignment w:val="auto"/>
        <w:rPr>
          <w:highlight w:val="none"/>
        </w:rPr>
      </w:pPr>
      <w:bookmarkStart w:id="247" w:name="_Toc15986"/>
      <w:bookmarkStart w:id="248" w:name="_Toc18515"/>
      <w:r>
        <w:rPr>
          <w:highlight w:val="none"/>
        </w:rPr>
        <w:t>税金</w:t>
      </w:r>
      <w:bookmarkEnd w:id="247"/>
      <w:r>
        <w:rPr>
          <w:rFonts w:hint="eastAsia"/>
          <w:highlight w:val="none"/>
          <w:lang w:val="en-US" w:eastAsia="zh-CN"/>
        </w:rPr>
        <w:t>取费说明</w:t>
      </w:r>
      <w:bookmarkEnd w:id="248"/>
    </w:p>
    <w:p>
      <w:pPr>
        <w:spacing w:before="120" w:after="120"/>
        <w:ind w:firstLine="566" w:firstLineChars="236"/>
        <w:rPr>
          <w:highlight w:val="none"/>
        </w:rPr>
      </w:pPr>
      <w:r>
        <w:rPr>
          <w:rFonts w:hint="eastAsia"/>
          <w:highlight w:val="none"/>
        </w:rPr>
        <w:t>根据《</w:t>
      </w:r>
      <w:r>
        <w:rPr>
          <w:highlight w:val="none"/>
        </w:rPr>
        <w:t>财政部税务总局海关总署关于深化增值税改革有关政策的公告</w:t>
      </w:r>
      <w:r>
        <w:rPr>
          <w:rFonts w:hint="eastAsia"/>
          <w:highlight w:val="none"/>
        </w:rPr>
        <w:t>》（财政部</w:t>
      </w:r>
      <w:r>
        <w:rPr>
          <w:highlight w:val="none"/>
        </w:rPr>
        <w:t> </w:t>
      </w:r>
      <w:r>
        <w:rPr>
          <w:rFonts w:hint="eastAsia"/>
          <w:highlight w:val="none"/>
        </w:rPr>
        <w:t>税务总局</w:t>
      </w:r>
      <w:r>
        <w:rPr>
          <w:highlight w:val="none"/>
        </w:rPr>
        <w:t> </w:t>
      </w:r>
      <w:r>
        <w:rPr>
          <w:rFonts w:hint="eastAsia"/>
          <w:highlight w:val="none"/>
        </w:rPr>
        <w:t>海关总署公告</w:t>
      </w:r>
      <w:r>
        <w:rPr>
          <w:highlight w:val="none"/>
        </w:rPr>
        <w:t>2019</w:t>
      </w:r>
      <w:r>
        <w:rPr>
          <w:rFonts w:hint="eastAsia"/>
          <w:highlight w:val="none"/>
        </w:rPr>
        <w:t>年第</w:t>
      </w:r>
      <w:r>
        <w:rPr>
          <w:highlight w:val="none"/>
        </w:rPr>
        <w:t>39</w:t>
      </w:r>
      <w:r>
        <w:rPr>
          <w:rFonts w:hint="eastAsia"/>
          <w:highlight w:val="none"/>
        </w:rPr>
        <w:t>号）</w:t>
      </w:r>
      <w:r>
        <w:rPr>
          <w:highlight w:val="none"/>
        </w:rPr>
        <w:t>，</w:t>
      </w:r>
      <w:r>
        <w:rPr>
          <w:rFonts w:hint="eastAsia"/>
          <w:highlight w:val="none"/>
        </w:rPr>
        <w:t>2019年4月1日起，在</w:t>
      </w:r>
      <w:r>
        <w:rPr>
          <w:highlight w:val="none"/>
        </w:rPr>
        <w:t>全国范围内全面推开营业税改</w:t>
      </w:r>
      <w:r>
        <w:rPr>
          <w:rFonts w:hint="eastAsia"/>
          <w:highlight w:val="none"/>
        </w:rPr>
        <w:t>增值税</w:t>
      </w:r>
      <w:r>
        <w:rPr>
          <w:highlight w:val="none"/>
        </w:rPr>
        <w:t>，信息系统工程税率为</w:t>
      </w:r>
      <w:r>
        <w:rPr>
          <w:rFonts w:hint="eastAsia"/>
          <w:highlight w:val="none"/>
        </w:rPr>
        <w:t>9</w:t>
      </w:r>
      <w:r>
        <w:rPr>
          <w:highlight w:val="none"/>
        </w:rPr>
        <w:t>%。</w:t>
      </w:r>
    </w:p>
    <w:p>
      <w:pPr>
        <w:pStyle w:val="3"/>
        <w:keepNext/>
        <w:keepLines/>
        <w:pageBreakBefore/>
        <w:widowControl w:val="0"/>
        <w:kinsoku/>
        <w:wordWrap/>
        <w:overflowPunct/>
        <w:topLinePunct w:val="0"/>
        <w:autoSpaceDE/>
        <w:autoSpaceDN/>
        <w:bidi w:val="0"/>
        <w:adjustRightInd/>
        <w:snapToGrid/>
        <w:ind w:left="482" w:leftChars="0" w:hanging="425" w:firstLineChars="0"/>
        <w:textAlignment w:val="auto"/>
        <w:rPr>
          <w:highlight w:val="none"/>
        </w:rPr>
      </w:pPr>
      <w:bookmarkStart w:id="249" w:name="_Toc48513815"/>
      <w:bookmarkStart w:id="250" w:name="_Toc48513928"/>
      <w:bookmarkStart w:id="251" w:name="_Toc14457"/>
      <w:bookmarkStart w:id="252" w:name="_Toc18895"/>
      <w:r>
        <w:rPr>
          <w:rFonts w:hint="eastAsia"/>
          <w:highlight w:val="none"/>
        </w:rPr>
        <w:t>概算表格</w:t>
      </w:r>
      <w:bookmarkEnd w:id="249"/>
      <w:bookmarkEnd w:id="250"/>
      <w:bookmarkEnd w:id="251"/>
      <w:bookmarkEnd w:id="252"/>
    </w:p>
    <w:p>
      <w:pPr>
        <w:pStyle w:val="4"/>
        <w:bidi w:val="0"/>
        <w:ind w:left="482" w:leftChars="0" w:hanging="425" w:firstLineChars="0"/>
        <w:rPr>
          <w:highlight w:val="none"/>
        </w:rPr>
      </w:pPr>
      <w:bookmarkStart w:id="253" w:name="_Toc23196"/>
      <w:bookmarkStart w:id="254" w:name="_Toc27616"/>
      <w:bookmarkStart w:id="255" w:name="_Toc48513816"/>
      <w:bookmarkStart w:id="256" w:name="_Toc48513929"/>
      <w:r>
        <w:rPr>
          <w:rFonts w:hint="eastAsia"/>
          <w:highlight w:val="none"/>
        </w:rPr>
        <w:t>概算总表</w:t>
      </w:r>
      <w:bookmarkEnd w:id="253"/>
      <w:bookmarkEnd w:id="254"/>
    </w:p>
    <w:tbl>
      <w:tblPr>
        <w:tblStyle w:val="29"/>
        <w:tblW w:w="83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0"/>
        <w:gridCol w:w="1350"/>
        <w:gridCol w:w="4500"/>
        <w:gridCol w:w="18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4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说明</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概算（元）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设备部分</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大屏显示系统、UPS电源系统、门禁和监控系统、气体灭火系统、相关配套、机房和平台迁移等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center"/>
              <w:rPr>
                <w:rFonts w:hint="eastAsia" w:ascii="宋体" w:hAnsi="宋体" w:eastAsia="宋体" w:cs="宋体"/>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745791.7</w:t>
            </w:r>
            <w:r>
              <w:rPr>
                <w:rFonts w:hint="eastAsia" w:ascii="宋体" w:hAnsi="宋体" w:eastAsia="宋体" w:cs="宋体"/>
                <w:i w:val="0"/>
                <w:iCs w:val="0"/>
                <w:color w:val="000000"/>
                <w:kern w:val="0"/>
                <w:sz w:val="22"/>
                <w:szCs w:val="22"/>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装修部分</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基础装修（包括：新砌砖墙隔断、天花吊顶、防静电地板、防火门改造等）、照明系统、配电系统等。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center"/>
              <w:rPr>
                <w:rFonts w:hint="eastAsia" w:ascii="宋体" w:hAnsi="宋体" w:eastAsia="宋体" w:cs="宋体"/>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182430.8</w:t>
            </w:r>
            <w:r>
              <w:rPr>
                <w:rFonts w:hint="eastAsia" w:ascii="宋体" w:hAnsi="宋体" w:eastAsia="宋体" w:cs="宋体"/>
                <w:i w:val="0"/>
                <w:iCs w:val="0"/>
                <w:color w:val="000000"/>
                <w:kern w:val="0"/>
                <w:sz w:val="22"/>
                <w:szCs w:val="22"/>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项目总概算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928222.4</w:t>
            </w:r>
            <w:r>
              <w:rPr>
                <w:rFonts w:hint="eastAsia" w:ascii="宋体" w:hAnsi="宋体" w:eastAsia="宋体" w:cs="宋体"/>
                <w:b/>
                <w:bCs/>
                <w:i w:val="0"/>
                <w:iCs w:val="0"/>
                <w:color w:val="000000"/>
                <w:kern w:val="0"/>
                <w:sz w:val="22"/>
                <w:szCs w:val="22"/>
                <w:u w:val="none"/>
                <w:lang w:val="en-US" w:eastAsia="zh-CN" w:bidi="ar"/>
              </w:rPr>
              <w:t xml:space="preserve"> </w:t>
            </w:r>
          </w:p>
        </w:tc>
      </w:tr>
    </w:tbl>
    <w:p>
      <w:pPr>
        <w:ind w:left="0" w:leftChars="0" w:firstLine="0" w:firstLineChars="0"/>
      </w:pPr>
    </w:p>
    <w:p>
      <w:pPr>
        <w:ind w:left="0" w:leftChars="0" w:firstLine="0" w:firstLineChars="0"/>
        <w:rPr>
          <w:highlight w:val="none"/>
        </w:rPr>
      </w:pPr>
    </w:p>
    <w:p>
      <w:pPr>
        <w:ind w:firstLine="199" w:firstLineChars="83"/>
        <w:rPr>
          <w:highlight w:val="none"/>
        </w:rPr>
        <w:sectPr>
          <w:pgSz w:w="11906" w:h="16838"/>
          <w:pgMar w:top="1440" w:right="1797" w:bottom="1440" w:left="1797" w:header="567" w:footer="992" w:gutter="0"/>
          <w:pgNumType w:fmt="decimal"/>
          <w:cols w:space="0" w:num="1"/>
          <w:docGrid w:type="lines" w:linePitch="312" w:charSpace="0"/>
        </w:sectPr>
      </w:pPr>
    </w:p>
    <w:p>
      <w:pPr>
        <w:pStyle w:val="4"/>
        <w:bidi w:val="0"/>
        <w:ind w:left="482" w:leftChars="0" w:hanging="425" w:firstLineChars="0"/>
      </w:pPr>
      <w:bookmarkStart w:id="257" w:name="_Toc2204"/>
      <w:bookmarkStart w:id="258" w:name="_Toc12752"/>
      <w:r>
        <w:rPr>
          <w:rFonts w:hint="eastAsia"/>
          <w:highlight w:val="none"/>
        </w:rPr>
        <w:t>清单明细</w:t>
      </w:r>
      <w:bookmarkEnd w:id="255"/>
      <w:bookmarkEnd w:id="256"/>
      <w:bookmarkEnd w:id="257"/>
      <w:bookmarkEnd w:id="258"/>
    </w:p>
    <w:p>
      <w:pPr>
        <w:pStyle w:val="5"/>
        <w:bidi w:val="0"/>
        <w:ind w:left="480" w:leftChars="0" w:firstLine="0" w:firstLineChars="0"/>
        <w:rPr>
          <w:rFonts w:hint="eastAsia"/>
          <w:lang w:val="en-US" w:eastAsia="zh-CN"/>
        </w:rPr>
      </w:pPr>
      <w:r>
        <w:rPr>
          <w:rFonts w:hint="eastAsia"/>
          <w:lang w:val="en-US" w:eastAsia="zh-CN"/>
        </w:rPr>
        <w:t>设备部分</w:t>
      </w:r>
    </w:p>
    <w:tbl>
      <w:tblPr>
        <w:tblStyle w:val="29"/>
        <w:tblW w:w="1452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9"/>
        <w:gridCol w:w="1710"/>
        <w:gridCol w:w="6393"/>
        <w:gridCol w:w="1378"/>
        <w:gridCol w:w="735"/>
        <w:gridCol w:w="688"/>
        <w:gridCol w:w="903"/>
        <w:gridCol w:w="1039"/>
        <w:gridCol w:w="10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blHeader/>
        </w:trPr>
        <w:tc>
          <w:tcPr>
            <w:tcW w:w="669" w:type="dxa"/>
            <w:tcBorders>
              <w:bottom w:val="single" w:color="000000" w:sz="4" w:space="0"/>
              <w:right w:val="single" w:color="000000" w:sz="4" w:space="0"/>
            </w:tcBorders>
            <w:shd w:val="clear" w:color="auto" w:fill="D9D9D9"/>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710" w:type="dxa"/>
            <w:tcBorders>
              <w:left w:val="single" w:color="000000" w:sz="4" w:space="0"/>
              <w:bottom w:val="single" w:color="000000" w:sz="4" w:space="0"/>
              <w:right w:val="single" w:color="000000" w:sz="4" w:space="0"/>
            </w:tcBorders>
            <w:shd w:val="clear" w:color="auto" w:fill="D9D9D9"/>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产品/设备</w:t>
            </w:r>
          </w:p>
        </w:tc>
        <w:tc>
          <w:tcPr>
            <w:tcW w:w="6393" w:type="dxa"/>
            <w:tcBorders>
              <w:left w:val="single" w:color="000000" w:sz="4" w:space="0"/>
              <w:bottom w:val="single" w:color="000000" w:sz="4" w:space="0"/>
              <w:right w:val="single" w:color="000000" w:sz="4" w:space="0"/>
            </w:tcBorders>
            <w:shd w:val="clear" w:color="auto" w:fill="D9D9D9"/>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配置/参数</w:t>
            </w:r>
          </w:p>
        </w:tc>
        <w:tc>
          <w:tcPr>
            <w:tcW w:w="1378" w:type="dxa"/>
            <w:tcBorders>
              <w:left w:val="single" w:color="000000" w:sz="4" w:space="0"/>
              <w:bottom w:val="single" w:color="000000" w:sz="4" w:space="0"/>
              <w:right w:val="single" w:color="000000" w:sz="4" w:space="0"/>
            </w:tcBorders>
            <w:shd w:val="clear" w:color="auto" w:fill="D9D9D9"/>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参考品牌</w:t>
            </w:r>
          </w:p>
        </w:tc>
        <w:tc>
          <w:tcPr>
            <w:tcW w:w="735" w:type="dxa"/>
            <w:tcBorders>
              <w:left w:val="single" w:color="000000" w:sz="4" w:space="0"/>
              <w:bottom w:val="single" w:color="000000" w:sz="4" w:space="0"/>
              <w:right w:val="single" w:color="000000" w:sz="4" w:space="0"/>
            </w:tcBorders>
            <w:shd w:val="clear" w:color="auto" w:fill="D9D9D9"/>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688" w:type="dxa"/>
            <w:tcBorders>
              <w:left w:val="single" w:color="000000" w:sz="4" w:space="0"/>
              <w:bottom w:val="single" w:color="000000" w:sz="4" w:space="0"/>
              <w:right w:val="single" w:color="000000" w:sz="4" w:space="0"/>
            </w:tcBorders>
            <w:shd w:val="clear" w:color="auto" w:fill="D9D9D9"/>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903" w:type="dxa"/>
            <w:tcBorders>
              <w:left w:val="single" w:color="000000" w:sz="4" w:space="0"/>
              <w:bottom w:val="single" w:color="000000" w:sz="4" w:space="0"/>
              <w:right w:val="single" w:color="000000" w:sz="4" w:space="0"/>
            </w:tcBorders>
            <w:shd w:val="clear" w:color="auto" w:fill="D9D9D9"/>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单价</w:t>
            </w:r>
          </w:p>
        </w:tc>
        <w:tc>
          <w:tcPr>
            <w:tcW w:w="1039" w:type="dxa"/>
            <w:tcBorders>
              <w:left w:val="single" w:color="000000" w:sz="4" w:space="0"/>
              <w:bottom w:val="single" w:color="000000" w:sz="4" w:space="0"/>
              <w:right w:val="nil"/>
            </w:tcBorders>
            <w:shd w:val="clear" w:color="auto" w:fill="D9D9D9"/>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金额</w:t>
            </w:r>
          </w:p>
        </w:tc>
        <w:tc>
          <w:tcPr>
            <w:tcW w:w="1010" w:type="dxa"/>
            <w:tcBorders>
              <w:left w:val="single" w:color="000000" w:sz="4" w:space="0"/>
              <w:bottom w:val="single" w:color="000000" w:sz="4" w:space="0"/>
            </w:tcBorders>
            <w:shd w:val="clear" w:color="auto" w:fill="D9D9D9"/>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F2F2F2"/>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w:t>
            </w:r>
          </w:p>
        </w:tc>
        <w:tc>
          <w:tcPr>
            <w:tcW w:w="171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设备部分</w:t>
            </w:r>
          </w:p>
        </w:tc>
        <w:tc>
          <w:tcPr>
            <w:tcW w:w="6393"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pageBreakBefore w:val="0"/>
              <w:widowControl/>
              <w:kinsoku/>
              <w:wordWrap/>
              <w:overflowPunct/>
              <w:topLinePunct w:val="0"/>
              <w:autoSpaceDE/>
              <w:autoSpaceDN/>
              <w:bidi w:val="0"/>
              <w:adjustRightInd/>
              <w:snapToGrid/>
              <w:ind w:firstLine="0" w:firstLineChars="0"/>
              <w:jc w:val="left"/>
              <w:rPr>
                <w:rFonts w:hint="eastAsia" w:ascii="宋体" w:hAnsi="宋体" w:eastAsia="宋体" w:cs="宋体"/>
                <w:b/>
                <w:bCs/>
                <w:i w:val="0"/>
                <w:iCs w:val="0"/>
                <w:color w:val="000000"/>
                <w:sz w:val="18"/>
                <w:szCs w:val="18"/>
                <w:u w:val="none"/>
              </w:rPr>
            </w:pPr>
          </w:p>
        </w:tc>
        <w:tc>
          <w:tcPr>
            <w:tcW w:w="1378"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688"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1039" w:type="dxa"/>
            <w:tcBorders>
              <w:top w:val="single" w:color="000000" w:sz="4" w:space="0"/>
              <w:left w:val="single" w:color="000000" w:sz="4" w:space="0"/>
              <w:bottom w:val="single" w:color="000000" w:sz="4" w:space="0"/>
              <w:right w:val="nil"/>
            </w:tcBorders>
            <w:shd w:val="clear" w:color="auto" w:fill="F2F2F2"/>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1010" w:type="dxa"/>
            <w:tcBorders>
              <w:top w:val="single" w:color="000000" w:sz="4" w:space="0"/>
              <w:left w:val="single" w:color="000000" w:sz="4" w:space="0"/>
              <w:bottom w:val="single" w:color="000000" w:sz="4" w:space="0"/>
            </w:tcBorders>
            <w:shd w:val="clear" w:color="auto" w:fill="F2F2F2"/>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大屏显示系统</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u w:val="none"/>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控制终端</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1.CPU：等于或优于intel Core i5处理器（6核，主频≥2.5GHz）</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2.散热系统：根据CPU温度闭环控制冷却风扇转速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3.内存≥8G DDR4内存，最大支持32G内存容量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4.硬盘：配置1TB机械硬盘，可扩展第二个硬盘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5.显卡：集成显卡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6.网卡：集成10/100/1000M以太网卡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7.接口:≥6个USB接口，提供至少1个VGA和1个HDMI接口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8.安全特性：配置BIOS底层集成智能USB技术(非软件实现)，实现仅识别USB键盘、鼠标，无法识别其他USB读取设备，有效防止数据泄露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9.机箱：塔式机箱，产品通过防腐认证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10.电脑管理软件：1-硬件主要参数检测；优化加速； 2-系统垃圾清理；3-病毒查杀；4-原厂驱动更新；5-网络测速，网络诊断；6-自动识别品牌型号，自动识别序列号，自动识别保修开始至截止信息；7-软硬件同品牌</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联想、戴尔、清华同方</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6176.0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12352.0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高清视频解码器(用于新楼区监控系统)</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1.机架式+插卡式模块设计，业务卡支持热插拔</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2.支持标清，高清视频信号的矩阵切换和输出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3.包含2张解码板卡，每张支持8路4K/32路1080P/64路720P/128路D1视频解码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4.支持4K、500W、300W、200W、130W等标准视频解码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5.支持H.265/H.264/MPEG-4解码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6.支持网络接入互联，支持网络键盘控制、RS485键盘控制及浏览器界面软件操作控制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7.支持画中画、异形拼接、画面叠加、跨屏拼接功能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8.支持LED字幕功能，内置跑马灯及固定显示字幕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9.支持场景、多屏、单屏自动轮巡</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德尔克、海康威视、大华</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7920.0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7920.0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高清解码矩阵</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1.机架式+插卡式模块设计，业务卡支持热插拔；</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2.支持标清，高清视频信号的矩阵切换和输出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3.支持解码H.265，满配最大支持320路H.265的1080P解码输出；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4.支持300W/500W/800W/1200W解码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5.支持视音频同步解码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6.支持多屏任意拼接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7.支持开窗和漫游功能，单屏支持36个窗口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8.支持30个预设场景，用户可以自定义每个场景电视墙布局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9.支持高清底图显示、高清全景拼接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10.支持网络级联</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11.支持TCP/IP协议，支持RTP/RTSP/RTCP/TCP/UDP/DHCP等网络协议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12.支持远程控制模拟，数字视频切换上墙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13.支持ISCSI、IPSAN等存储方式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14.支持标清/高清/模拟/数字等多种视频混合显示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15.同一输入通道的视频图像在拼接屏组各物理单元之间显示时差小于1ms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16.支持在单屏/拼接屏上显示文字。文字字体、颜色、字符间距、背景色和速度可调节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17.字体可进行滚动显示，滚动速度、方向可调节</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海康威视、大华、宇视</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38400.0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38400.0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解码板卡</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支持≥8路4096*2160@25fps，8路3840*2160@30fps ，32路1080p@30fps（H.264、H.265），72路720p@30fps，150路D1解码；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支持8路1080P的SVAC解码；支持24路非标D1码流解码；1/4/6/8/9/16/25/36画面分割，自由分割</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海康威视、大华、宇视</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17280.0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138240.0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高清输入卡</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1.≥4路HDMI编码卡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2.音频输入接口：无接口，HDMI接口自带音频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3.编码格式：H.264/MPEG4</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4.编码能力：单板4路1080P，支持1080P/720P/UXGA/SXGA+ /SXGA/XGA/SVGA/VGA分辨率</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海康威视、大华、宇视</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11600.0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11600.0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液晶拼接屏</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1.液晶显示单元≥55英寸，双边拼接缝隙≤1.8mm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2.显示单元采用模块化设计，液晶屏采用高亮LED背光源，亮度不低于700 cd/m2，单屏原始分辨率为1920X1080，对比度≥1400：1，整机功耗：≤180W</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3.输入输出端口满足：（1）HDMI*1；（2）DVI*1;（3） VGA*1；（4）RS232*1；（5）RS232输出*1。</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4.大屏幕显示系统要求工作稳定，可靠性高，保证 7×24 小时 连续正常运行；平均无故障时间≥60000小时</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创维、TCL、海信</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11220.0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168300.0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显示单元支架和底座</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55寸液压式前维护安装支架，采用铝型材材料定制，外层涂有绝缘喷塑材料，颜色为黑色；积木式箱体单元间有紧固连接装置；标准高度0.8米/1米，可根据项目需求定制高度。</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海康、大华、宇视</w:t>
            </w:r>
          </w:p>
        </w:tc>
        <w:tc>
          <w:tcPr>
            <w:tcW w:w="7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1760.0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26400.0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LED条屏</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双基色屏，带日期及时间单元，点间距≤4.76mm，整体尺寸约6.1米*0.4米</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m²</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2080.0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5075.2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HDMI跳线</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10米HDMI跳线</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250.2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3753.0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10</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HDMI跳线</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3米HDMI跳线,用于高清视频器接入高清解码矩阵;</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71.8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215.4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强电排插</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6位排插，3米线</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113.4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567.0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辅材</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标签纸、扎带、电源线、软管、安装辅件等</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UPS电源系统</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u w:val="none"/>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b/>
                <w:bCs/>
                <w:i w:val="0"/>
                <w:iCs w:val="0"/>
                <w:color w:val="000000"/>
                <w:sz w:val="18"/>
                <w:szCs w:val="18"/>
                <w:u w:val="none"/>
              </w:rPr>
            </w:pP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b/>
                <w:bCs/>
                <w:i w:val="0"/>
                <w:iCs w:val="0"/>
                <w:color w:val="000000"/>
                <w:sz w:val="18"/>
                <w:szCs w:val="18"/>
                <w:u w:val="none"/>
              </w:rPr>
            </w:pP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UPS</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1.三进三出纯在线双变换产品，支持380/400/415V 容量≥20kVA</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2.输入功率因数高达0.99,输入谐波电流小于3%,整机效率95%;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3.输入频率：50Hz-60Hz</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4.输出额定频率：50/60HZ</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5.输出功率因数：1</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6.电池电压：±240VDC（32-44节）</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易事特、山特、科士达</w:t>
            </w:r>
          </w:p>
        </w:tc>
        <w:tc>
          <w:tcPr>
            <w:tcW w:w="7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33840.0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33840.0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UPS电池</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100AH/12V,满足后备时间1小时</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易事特、山特、科士达</w:t>
            </w:r>
          </w:p>
        </w:tc>
        <w:tc>
          <w:tcPr>
            <w:tcW w:w="7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1053.0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33696.0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UPS电池柜</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32位，箱体采用环保镀锌板材料，整柜静电喷塑</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易事特、山特、科士达</w:t>
            </w:r>
          </w:p>
        </w:tc>
        <w:tc>
          <w:tcPr>
            <w:tcW w:w="7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1760.0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1760.0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4</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镀锌方管(电池柜底座)</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样式定制，采用100*100*4mm镀锌方管焊接，焊接牢固结实、无虚焊，焊缝打磨光滑，表面做防腐、防锈处理</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7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2030.4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2030.4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5</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配件</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电池红黑连接线,接线端子等，电池柜开关箱;</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7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2880.0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2880.0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门禁和监控系统</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u w:val="none"/>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b/>
                <w:bCs/>
                <w:i w:val="0"/>
                <w:iCs w:val="0"/>
                <w:color w:val="000000"/>
                <w:sz w:val="18"/>
                <w:szCs w:val="18"/>
                <w:u w:val="none"/>
              </w:rPr>
            </w:pP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b/>
                <w:bCs/>
                <w:i w:val="0"/>
                <w:iCs w:val="0"/>
                <w:color w:val="000000"/>
                <w:sz w:val="18"/>
                <w:szCs w:val="18"/>
                <w:u w:val="none"/>
              </w:rPr>
            </w:pP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室内红外半球摄像机</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1.像素≥400万；最大分辨率≥2688×1520；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2.最大补光距离≥50m（红外视频监控距离）；</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3.镜头类型：定焦；镜头焦距：2.8mm；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4.周界防范：绊线入侵；区域入侵；徘徊检测；人员聚集；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5.智能编码：支持H.264:和H.265:支持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6.供电方式：DC12V/POE；</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7.宽动态：120dB；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8.电源返送功能检查：支持DC12V电源反向输出；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9.像素计数器功能检查：在WEB界面上，可通过在画面中鼠标选取画面的大小，画出的框里会显示当前像素值；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10.智能方案无缝切换功能检查：支持智能方案无缝切换功能，可通过菜单进行各智能方案切换配置，切换过程无需重启设备；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11.智能编码功能检查： 具有智能编码设置选项 设备在H.264或H.265编码方式时，开启智能编码功能和不开启智能编码相比，码流节约9/10；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12.为保证系统的兼容性，室外红外半球摄像机应支持原有平台授权接入</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海康威视、大华、宇视</w:t>
            </w:r>
          </w:p>
        </w:tc>
        <w:tc>
          <w:tcPr>
            <w:tcW w:w="73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748.8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1497.6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网络硬盘录像机（含6T监控硬盘）</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1.接入路数：≥8路；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2.硬盘：含≥一个6T监控硬盘；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3.硬盘接口：≥4个SATA，单盘最大16T；</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4.多路回放：最大支持≥8路回放；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5.HDMI接口：≥2个；VGA接口：≥2个；</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6.分辨率：32MP;24MP;16MP; 12MP; 8MP; 6MP; 5MP; 4MP; 3MP; 1080p; 960p; 720p; D1; CIF；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7.搜索列表中的设备，不需要添加就可以通过点击预览按钮查看前端的视频画面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8.支持CGI命令配置设备配置参数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9.用于设备升级的固件包采用AES256加密技术加密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10.为保证系统的兼容性，网络硬盘录像机应支持原有平台授权接入</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海康威视、大华、宇视</w:t>
            </w:r>
          </w:p>
        </w:tc>
        <w:tc>
          <w:tcPr>
            <w:tcW w:w="73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3976.0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3976.0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发卡器</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支持发卡类型：ID卡、IC卡(Mifare卡)、CPU卡、身份证（序列号）；支持国密算法</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博世、海康威视、大华</w:t>
            </w:r>
          </w:p>
        </w:tc>
        <w:tc>
          <w:tcPr>
            <w:tcW w:w="73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931.2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931.2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双门门禁控制器</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1.门状态检测：≥2路；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2.网络协议：IPv4;UDP;TCP；</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3.是否支持SDK：支持；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4.开门模式：支持刷卡/远程/密码/指纹开门模式；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5.用户容量：≥100000个用户；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6.卡片容量：≥100000张；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7.存储记录数量：≥500000条；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8.RS-485接口：≥5个RS-485接口；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9.韦根接口：≥4路韦根接口；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10.网络接口：1个10Mbps/100Mbps以太网口；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11.断网脱机功能检查: 支持数据断网运行,设备断网后,指纹、IC卡、CPU卡、二维码和密码等可进行脱机比对验证,并且用户数据、开门记录、报警记录数据可以正常保存,设备运行不受影响，断网后,记录存储到设备中。网络恢复后,管理平台可查询设备的记录信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12.存储容量检查: 支持100000个用户,100000张卡、100000个密码、5000枚指纹、505000条存储记录(包括5000条报警记录)，Flash存储容量:64MB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13.供电方式检查: 支持蓄电池充电和供电,市电掉电后切换蓄电池供电，支持控制器单独对门锁供电,控制器输出额定电压12V,最大电流2A</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14.为保证系统的兼容性，网络硬盘录像机应支持原有平台授权接入</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博世、海康威视、大华</w:t>
            </w:r>
          </w:p>
        </w:tc>
        <w:tc>
          <w:tcPr>
            <w:tcW w:w="73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1516.8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1516.8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门禁读卡器</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1.支持国密算法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2.按键类型：触摸按键；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3.产品款式：读卡器；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4.背光效果：支持；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5.开门模式：支持刷卡/密码开门模式；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6.读卡类型：IC卡/CPU卡/身份证（序列号）；</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博世、海康威视、大华</w:t>
            </w:r>
          </w:p>
        </w:tc>
        <w:tc>
          <w:tcPr>
            <w:tcW w:w="73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713.6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1427.2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电磁锁</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1.外壳材料：铝合金；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2.适用门型：木门\玻璃门\金属门\防火门等；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3.安全类型：断电开门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4.双门锁</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329.6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659.2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按钮</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开门按钮</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41.6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83.2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通行工作证</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擦写次数＞10万次，数据保存时间＞10年，提供硬件支持SM1商用算法模块</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28.8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1152.0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POE交换机</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1.交换容量≥20Gbps；包转发率≥14.88Mpps；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2.端口：≥8个10/100/1000Mbps、1个SFP 1000Mbps、端口支持POE;</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656.0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656.0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监控、门禁系统辅材</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含电源线、敷设管线材、安装配件等</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w:t>
            </w:r>
          </w:p>
        </w:tc>
        <w:tc>
          <w:tcPr>
            <w:tcW w:w="8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自动气体灭火系统</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b/>
                <w:bCs/>
                <w:i w:val="0"/>
                <w:iCs w:val="0"/>
                <w:color w:val="000000"/>
                <w:sz w:val="18"/>
                <w:szCs w:val="18"/>
                <w:u w:val="none"/>
              </w:rPr>
            </w:pP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b/>
                <w:bCs/>
                <w:i w:val="0"/>
                <w:iCs w:val="0"/>
                <w:color w:val="000000"/>
                <w:sz w:val="18"/>
                <w:szCs w:val="18"/>
                <w:u w:val="none"/>
              </w:rPr>
            </w:pP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70L柜式灭火装置</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1.灭火剂充装量为≦1120kg/m3；</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2.储存压力为2.5MPa；</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3.最大工作压力：4.2Mpa；</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4.喷射时间：8S；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5.启动方式：电磁启动:DC24V/1.2A、机械应急手动启动。</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9280.0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9280.0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七氟丙烷药剂</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分子成分C3HF7，纯度＞99.9%</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104.0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6760.0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泄压口装置</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1.形式：无电源；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2.动作压力：1000Pa±50Pa；</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3.关闭压力：850Pa±50Pa；</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4.环境温度：-25℃～+55℃。</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1920.0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1920.0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气体灭火控制器</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1.交流输入电压：220V±20%, 50Hz；</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2.交流输入功率：≤120W；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3.直流备电：DC24V/7.0Ah,全密封免维护蓄电池；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4.容量：一个灭火分区，2个回路，每个回路可接探测器数目：≤20只；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5.电磁阀输出回路限流：≤3A，其它驱动输出回路限流：≤1A。</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5280.0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5280.0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气体释放警报器</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工作电压：DC24V</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560.0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紧急启/停按钮</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工作电压：DC24V</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256.0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256.0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火灾声光警报器</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1.总线电压：24V脉动电压；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2.靓态电流：≤ 1mA；</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3.报警音量：&gt; 85dB（正前方3m）；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4.闪光频率：1次/S</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206.4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412.8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光电感烟火灾探测器</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1.工作电压：总线DC24V；</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2.监视电流：〈300uA动作状态〈1.5mA；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3.工作指示：红色状态指示灯（巡检时闪烁，报警时常亮）</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147.2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147.2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点型感温火灾探测器</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1.工作电压：总线DC24V；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2.监视电流：〈300uA动作状态〈1.5mA；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3.工作指示：红色状态指示灯（巡检时闪烁，报警时常亮）</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145.6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291.2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电源线</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ZR-RVS-2X1.0mm2</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6.1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305.0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信号线</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ZR-RVSP-2X1.0mm2</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8.1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405.0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电源线（主机供电）</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ZR-BVV-3*2.5mm2</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14.2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113.6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气体柜启动线缆</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ZR-RVS-2X2.5mm2</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9.9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118.8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气体柜反馈线缆</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ZR-RVSP-2X1.5mm2</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9.7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116.4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镀锌钢管</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φ25</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11.4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342.0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防盗报警系统</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u w:val="none"/>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b/>
                <w:bCs/>
                <w:i w:val="0"/>
                <w:iCs w:val="0"/>
                <w:color w:val="000000"/>
                <w:sz w:val="18"/>
                <w:szCs w:val="18"/>
                <w:u w:val="none"/>
              </w:rPr>
            </w:pP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b/>
                <w:bCs/>
                <w:i w:val="0"/>
                <w:iCs w:val="0"/>
                <w:color w:val="000000"/>
                <w:sz w:val="18"/>
                <w:szCs w:val="18"/>
                <w:u w:val="none"/>
              </w:rPr>
            </w:pP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入侵报警主机</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支持≥8路报警输入，≥4路报警输出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网络接口：≥2个RJ-45 10M/100M以太网口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供电方式：AC100~AC240V</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海康威视、艾礼安、艾礼富</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1168.0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1168.0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报警4G模块</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支持运营商：全网通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支持无线拨号上网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支持报警联动电话、短信、TTS(语音提示)</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海康威视、艾礼安、艾礼富</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678.4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678.4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吸顶式三鉴探测器</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吸顶安装，支持红外、微波、人工智能复合报警，探测器探测距离8m，探测角度360°，探测器内置防拆开关，支持报警延时功能，可设置报警延时，满足不同项目需求</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海康威视、艾礼安、艾礼富</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464.0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928.0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声光报警器</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声光一体式；额定电压：12VDC；工作电压范围：9~15VDC；额定电流≤140mA；闪动次数/分钟：300±30次；声压：108±3dB（30cm处）</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海康威视、艾礼安、艾礼富</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91.5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91.5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报警键盘</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LCD屏幕，报警对应防区号显示，报警布撤防，支持通讯状态查询</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海康威视、艾礼安、艾礼富</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457.6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457.6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蓄电池</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12v7AH</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海康威视、艾礼安、艾礼富</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204.8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204.8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信号线</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RVV4*1.0</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8.2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410.0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电源线</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RVV2*1.0</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5.5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PVC管</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φ25</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5.6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168.0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相关配套</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u w:val="none"/>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b/>
                <w:bCs/>
                <w:i w:val="0"/>
                <w:iCs w:val="0"/>
                <w:color w:val="000000"/>
                <w:sz w:val="18"/>
                <w:szCs w:val="18"/>
                <w:u w:val="none"/>
              </w:rPr>
            </w:pP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b/>
                <w:bCs/>
                <w:i w:val="0"/>
                <w:iCs w:val="0"/>
                <w:color w:val="000000"/>
                <w:sz w:val="18"/>
                <w:szCs w:val="18"/>
                <w:u w:val="none"/>
              </w:rPr>
            </w:pP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42U服务器机柜(新增)</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42U、600*1000*2055mm</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图腾、金盾、弘誉</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4284.0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17136.0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镀锌方管(机柜底座)</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样式定制，采用100*100*4mm镀锌方管焊接，焊接牢固结实、无虚焊，焊缝打磨光滑，表面做防腐、防锈处理</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1230.4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3937.3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八位PDU插座</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八位PDU插座，防浪涌，10A</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288.0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2880.0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机房防雷接地</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接地箱、室内敷设接地紫铜带、接地线缆BV50mm等</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4480.0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4480.0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桥架（弱电）</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CT200*100*1.2，含吊架、盖板及固定件，含安装</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149.6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4488.0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桥架（强电）</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CT200*100*1.2，含吊架、盖板及固定件，含安装</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149.6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4488.0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三联操作台</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框架：采用优质冷轧钢板和高刚度的铝型材，矩形框架；2.台面：厚度25厚木面，台面颜色可选，边角做圆弧处理；3.侧板：抽拉式键盘托静音式滑轮；4.抽拉式键盘托静音式滑轮；5.侧板款式造型可选；6.工艺要求：经脱脂、酸洗、防锈磷化处理、表面静电喷塑、耐酸碱、防锈蚀、抗静电。参考尺寸：1700mm*900mm*750mm</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2480.0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2480.0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座椅</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背架和扶手采用PP加纤材质，带升降头枕和固定腰靠；底座采用高回弹定型海绵；加强尼龙活动轮</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288.0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864.0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空调</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单冷，3匹，含制冷剂、配套管线</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9840.0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29520.0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抽湿机</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50L除湿量/天</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3376.0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3376.0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机房和平台迁移</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u w:val="none"/>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b/>
                <w:bCs/>
                <w:i w:val="0"/>
                <w:iCs w:val="0"/>
                <w:color w:val="000000"/>
                <w:sz w:val="18"/>
                <w:szCs w:val="18"/>
                <w:u w:val="none"/>
              </w:rPr>
            </w:pP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b/>
                <w:bCs/>
                <w:i w:val="0"/>
                <w:iCs w:val="0"/>
                <w:color w:val="000000"/>
                <w:sz w:val="18"/>
                <w:szCs w:val="18"/>
                <w:u w:val="none"/>
              </w:rPr>
            </w:pP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8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学院视频视频监控系统和新楼视频监控系统搬迁</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b/>
                <w:bCs/>
                <w:i w:val="0"/>
                <w:iCs w:val="0"/>
                <w:color w:val="000000"/>
                <w:sz w:val="18"/>
                <w:szCs w:val="18"/>
                <w:u w:val="none"/>
              </w:rPr>
            </w:pP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b/>
                <w:bCs/>
                <w:i w:val="0"/>
                <w:iCs w:val="0"/>
                <w:color w:val="000000"/>
                <w:sz w:val="18"/>
                <w:szCs w:val="18"/>
                <w:u w:val="none"/>
              </w:rPr>
            </w:pP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原有平台管理设备搬迁</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原有监控后台设备迁移，包含服务器、网络设备等搬迁：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1.包含项目调研、线路摸查、寻线和测线；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2.包含网络和系统的割接；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3.包含设备下架打包、拆包上架固定、机柜整理；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4.包含设备标识、端口标识、线路标识、数据检查；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5.包含设备通电、系统恢复、数据检查、参数核对；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6.包含搬迁所需要的所有辅材。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迁移范围：图书信息大楼5楼网络中心3个42U机柜、图书信息大楼2楼1个42U机柜、第三食堂1楼监控室1个42U机柜内视频监控服务器及其存储服务器;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搬迁后需保障原有系统和平台功能正常运行</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15000.0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15000.0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汇聚交换机(用于接入服务器及其存储设备)</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三层交换机，≥28个10/100/1000Base-T自适应以太网端口，其中≥8个是combo口，≥4个万兆SFP+口,交流供电,交换容量≥598Gbps/5.98Tbps，包转发率≥222Mpps/369Mpps，双电源，双风扇</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华为、H3C、锐捷</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10584.0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21168.0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网络理线器</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1U金属网络理线器，机架式</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大唐电信、清华同方、TCL</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72.0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万兆单模光纤模块</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SFP+ 万兆模块(1310nm,10km,LC)</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华为、H3C、锐捷</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720.0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2880.0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24芯单模光缆(机房~7号宿舍楼内部)</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24芯铠装室外单模光纤</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大唐电信、清华同方、TCL</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3.9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780.0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光纤配线架</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24芯光纤配线架，满配耦合器,LC接口;</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大唐电信、清华同方、TCL</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416.0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832.0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光纤LC尾纤</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单模光纤LC尾纤</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大唐电信、清华同方、TCL</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6.7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321.6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光纤熔接</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光纤熔接施工</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芯</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1152.0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光纤跳线</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单模光纤跳线，单芯，LC-LC，1m</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大唐电信、清华同方、TCL</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15.8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126.4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信息面板</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单口；六类网络接口；含网络模块;</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TCL,罗格朗,普天</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30.6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306.0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网线</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六类非屏蔽网线，用于机柜内跳线、操作台和拼接屏布线、视频门禁系统等</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大唐电信、清华同方、TCL</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952.0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952.0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辅材</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六类水晶头、网络跳线、标签、PVC管槽连接件、PVC线管固定件、塑料塞子、螺丝、钢钉、膨胀螺栓、玻璃胶、扎带等</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840.0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840.0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8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足球场区域视频接入改造</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b/>
                <w:bCs/>
                <w:i w:val="0"/>
                <w:iCs w:val="0"/>
                <w:color w:val="000000"/>
                <w:sz w:val="18"/>
                <w:szCs w:val="18"/>
                <w:u w:val="none"/>
              </w:rPr>
            </w:pP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b/>
                <w:bCs/>
                <w:i w:val="0"/>
                <w:iCs w:val="0"/>
                <w:color w:val="000000"/>
                <w:sz w:val="18"/>
                <w:szCs w:val="18"/>
                <w:u w:val="none"/>
              </w:rPr>
            </w:pP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光纤跳线</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单模光纤跳线，单芯，FC-LC，3m</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大唐电信、清华同方、TCL</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15.8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63.2 </w:t>
            </w:r>
          </w:p>
        </w:tc>
        <w:tc>
          <w:tcPr>
            <w:tcW w:w="1010" w:type="dxa"/>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两端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千兆单模光纤模块</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SFP  千兆模块(1310nm,10km,LC)</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华为、H3C、锐捷</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288.0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576.0 </w:t>
            </w:r>
          </w:p>
        </w:tc>
        <w:tc>
          <w:tcPr>
            <w:tcW w:w="1010" w:type="dxa"/>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两端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网络跳线</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六类非屏蔽，3m</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TCL,罗格朗,普天</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19.1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19.1 </w:t>
            </w:r>
          </w:p>
        </w:tc>
        <w:tc>
          <w:tcPr>
            <w:tcW w:w="1010" w:type="dxa"/>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交换机和NVR互联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8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保卫处访问新楼区域视频改造</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b/>
                <w:bCs/>
                <w:i w:val="0"/>
                <w:iCs w:val="0"/>
                <w:color w:val="000000"/>
                <w:sz w:val="18"/>
                <w:szCs w:val="18"/>
                <w:u w:val="none"/>
              </w:rPr>
            </w:pP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b/>
                <w:bCs/>
                <w:i w:val="0"/>
                <w:iCs w:val="0"/>
                <w:color w:val="000000"/>
                <w:sz w:val="18"/>
                <w:szCs w:val="18"/>
                <w:u w:val="none"/>
              </w:rPr>
            </w:pP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接入交换机</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1.交换容量≥20Gbps；包转发率≥14.88Mpps；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2.端口：下行≥8个10/100/1000Base -T以太网端口;上行≥1个千兆SFP光</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华为、H3C、锐捷</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728.0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728.0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光纤跳线</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单模光纤跳线，单芯，LC-LC，1m</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大唐电信、清华同方、TCL</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15.8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63.2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两端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千兆单模光纤模块</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SFP 千兆模块(1310nm,10km,LC)</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华为、H3C、锐捷</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288.0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576.0 </w:t>
            </w:r>
          </w:p>
        </w:tc>
        <w:tc>
          <w:tcPr>
            <w:tcW w:w="1010" w:type="dxa"/>
            <w:tcBorders>
              <w:top w:val="single" w:color="000000" w:sz="4" w:space="0"/>
              <w:left w:val="single" w:color="000000" w:sz="4" w:space="0"/>
              <w:bottom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两端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网线</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六类非屏蔽网线</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大唐电信、清华同方、TCL</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6.4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384.0 </w:t>
            </w:r>
          </w:p>
        </w:tc>
        <w:tc>
          <w:tcPr>
            <w:tcW w:w="1010" w:type="dxa"/>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5F~7F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信息面板</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单口;六类网络接口;含网络模块;</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TCL,罗格朗,普天</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30.6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30.6 </w:t>
            </w:r>
          </w:p>
        </w:tc>
        <w:tc>
          <w:tcPr>
            <w:tcW w:w="1010" w:type="dxa"/>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网络跳线</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六类非屏蔽，3m;</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TCL,罗格朗,普天</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19.1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19.1 </w:t>
            </w:r>
          </w:p>
        </w:tc>
        <w:tc>
          <w:tcPr>
            <w:tcW w:w="1010" w:type="dxa"/>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辅材</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敷设管材、安装配件等</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560.0 </w:t>
            </w: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560.0 </w:t>
            </w:r>
          </w:p>
        </w:tc>
        <w:tc>
          <w:tcPr>
            <w:tcW w:w="1010" w:type="dxa"/>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4" w:hRule="atLeast"/>
        </w:trPr>
        <w:tc>
          <w:tcPr>
            <w:tcW w:w="669" w:type="dxa"/>
            <w:tcBorders>
              <w:top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A</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以上内容小计</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651631.0 </w:t>
            </w:r>
          </w:p>
        </w:tc>
        <w:tc>
          <w:tcPr>
            <w:tcW w:w="1010" w:type="dxa"/>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B</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集成费</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设备部分×5%</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32581.5 </w:t>
            </w:r>
          </w:p>
        </w:tc>
        <w:tc>
          <w:tcPr>
            <w:tcW w:w="1010" w:type="dxa"/>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69" w:type="dxa"/>
            <w:tcBorders>
              <w:top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C</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税金</w:t>
            </w:r>
          </w:p>
        </w:tc>
        <w:tc>
          <w:tcPr>
            <w:tcW w:w="6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（A+B）×9%</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103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61579.1 </w:t>
            </w:r>
          </w:p>
        </w:tc>
        <w:tc>
          <w:tcPr>
            <w:tcW w:w="1010" w:type="dxa"/>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69" w:type="dxa"/>
            <w:tcBorders>
              <w:top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D</w:t>
            </w:r>
          </w:p>
        </w:tc>
        <w:tc>
          <w:tcPr>
            <w:tcW w:w="171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设备部分合计</w:t>
            </w:r>
          </w:p>
        </w:tc>
        <w:tc>
          <w:tcPr>
            <w:tcW w:w="6393"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A+B+C</w:t>
            </w:r>
          </w:p>
        </w:tc>
        <w:tc>
          <w:tcPr>
            <w:tcW w:w="1378"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735" w:type="dxa"/>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688" w:type="dxa"/>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903"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1039" w:type="dxa"/>
            <w:tcBorders>
              <w:top w:val="single" w:color="000000" w:sz="4" w:space="0"/>
              <w:left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745791.7 </w:t>
            </w:r>
          </w:p>
        </w:tc>
        <w:tc>
          <w:tcPr>
            <w:tcW w:w="1010" w:type="dxa"/>
            <w:tcBorders>
              <w:top w:val="single" w:color="000000" w:sz="4" w:space="0"/>
              <w:lef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r>
    </w:tbl>
    <w:p>
      <w:pPr>
        <w:ind w:left="0" w:leftChars="0" w:firstLine="0" w:firstLineChars="0"/>
        <w:rPr>
          <w:rFonts w:hint="eastAsia"/>
          <w:lang w:val="en-US" w:eastAsia="zh-CN"/>
        </w:rPr>
      </w:pPr>
    </w:p>
    <w:p>
      <w:pPr>
        <w:pStyle w:val="5"/>
        <w:keepNext/>
        <w:keepLines/>
        <w:pageBreakBefore/>
        <w:widowControl w:val="0"/>
        <w:kinsoku/>
        <w:wordWrap/>
        <w:overflowPunct/>
        <w:topLinePunct w:val="0"/>
        <w:autoSpaceDE/>
        <w:autoSpaceDN/>
        <w:bidi w:val="0"/>
        <w:adjustRightInd/>
        <w:snapToGrid/>
        <w:spacing w:line="377" w:lineRule="auto"/>
        <w:ind w:left="482" w:leftChars="0" w:firstLine="0" w:firstLineChars="0"/>
        <w:textAlignment w:val="auto"/>
        <w:rPr>
          <w:rFonts w:hint="eastAsia"/>
          <w:lang w:val="en-US" w:eastAsia="zh-CN"/>
        </w:rPr>
      </w:pPr>
      <w:r>
        <w:rPr>
          <w:rFonts w:hint="eastAsia"/>
          <w:lang w:val="en-US" w:eastAsia="zh-CN"/>
        </w:rPr>
        <w:t>装修部分</w:t>
      </w:r>
    </w:p>
    <w:tbl>
      <w:tblPr>
        <w:tblStyle w:val="29"/>
        <w:tblW w:w="1396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9"/>
        <w:gridCol w:w="1774"/>
        <w:gridCol w:w="5759"/>
        <w:gridCol w:w="1239"/>
        <w:gridCol w:w="578"/>
        <w:gridCol w:w="666"/>
        <w:gridCol w:w="1044"/>
        <w:gridCol w:w="1357"/>
        <w:gridCol w:w="8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774"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产品/设备</w:t>
            </w: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配置/参数</w:t>
            </w: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参考品牌</w:t>
            </w: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单价</w:t>
            </w:r>
          </w:p>
        </w:tc>
        <w:tc>
          <w:tcPr>
            <w:tcW w:w="0" w:type="auto"/>
            <w:tcBorders>
              <w:top w:val="single" w:color="000000" w:sz="4" w:space="0"/>
              <w:left w:val="single" w:color="000000" w:sz="4" w:space="0"/>
              <w:bottom w:val="single" w:color="000000" w:sz="4" w:space="0"/>
              <w:right w:val="nil"/>
            </w:tcBorders>
            <w:shd w:val="clear" w:color="auto" w:fill="D9D9D9"/>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装修部分</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窗户封堵</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窗户关闭后打玻璃胶密封，玻璃贴不透光玻璃膜，轻钢龙骨和硅酸钙板封与墙面平齐；刷2遍乳胶漆；</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343.0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5145.0 </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窗帘安装</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防逆光,保护隐私;包含褶皱，褶皱系数2.0</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196.0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3920.0 </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新砌砖墙隔断</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砌20cm厚砖墙封堵，双面刮腻子、刷乳胶漆</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17.82</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518.0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9230.8 </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天花吊顶</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铺设微孔铝板天花，含安装</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77.3</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490.0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37877.0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防静电地板</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并铺设600*600mm全钢防静电地板，含安装</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77.3</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506.8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39175.6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踢脚线</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90mm</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63.0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3465.0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地面和天花刷防尘漆</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地面和天花刷防尘漆，刷两遍</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176.7</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63.0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11132.1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拼接屏包封</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轻钢龙骨贴阻燃板，红樱桃板，白色铝塑板</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466.2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1864.8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双开防火门</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甲级防火门，1200*2200mm钢质，含安装</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5320.0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5320.0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不锈钢金属门</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尺寸：2000*2200mm，材质：不锈钢，安装方式：外部加装</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5460.0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5460.0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不锈钢窗罩</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尺寸：2500*1500mm，材质：不锈钢，安装方式：外部加装</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3.75</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336.0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清运废土及清洁卫生</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清运废土及清洁卫生</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840.0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840.0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照明系统</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LED灯盘</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LED灯盘，600*600；</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319.2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4788.0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应急灯</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双灯</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39.2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117.6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排气扇</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10寸</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306.6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613.2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照明开关面板</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两位</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60.9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243.6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阻燃型电源线</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ZR-BV1.5mm2</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1290.0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镀锌钢管</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φ25</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11.4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1140.0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配电系统</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b/>
                <w:bCs/>
                <w:i w:val="0"/>
                <w:iCs w:val="0"/>
                <w:color w:val="000000"/>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总配电箱</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含空气开关、三相电源保护器、柜体、柜锁、接地铜排/端子等；空开配置：2个63A/3P、1个40A/3P、4个32A/2P、1个16A/2P、8个16A/1P、14个20A/1P;</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4000.0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16A电源插座</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16A,三孔插座</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23.0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276.0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10A电源插座</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10A,五孔插座</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21.0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399.0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空调插座</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16A，三孔空调插座</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23.0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69.0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强电主干</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ZR-YJV4*25mm2+16mm2</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161.7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21021.0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阻燃型电源线</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ZR-BVV4mm2</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8.1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6480.0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阻燃型电源线</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ZR-BVV2.5mm2</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5.5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镀锌钢管</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φ25</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11.4 </w:t>
            </w:r>
          </w:p>
        </w:tc>
        <w:tc>
          <w:tcPr>
            <w:tcW w:w="135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1140.0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A</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以上内容小计</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b/>
                <w:bCs/>
                <w:i w:val="0"/>
                <w:iCs w:val="0"/>
                <w:color w:val="000000"/>
                <w:sz w:val="18"/>
                <w:szCs w:val="18"/>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167367.7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C</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税金</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A×9%</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b/>
                <w:bCs/>
                <w:i w:val="0"/>
                <w:iCs w:val="0"/>
                <w:color w:val="000000"/>
                <w:sz w:val="18"/>
                <w:szCs w:val="18"/>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15063.1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D</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装修部分合计</w:t>
            </w:r>
          </w:p>
        </w:tc>
        <w:tc>
          <w:tcPr>
            <w:tcW w:w="5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A + B</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right"/>
              <w:rPr>
                <w:rFonts w:hint="eastAsia" w:ascii="宋体" w:hAnsi="宋体" w:eastAsia="宋体" w:cs="宋体"/>
                <w:b/>
                <w:bCs/>
                <w:i w:val="0"/>
                <w:iCs w:val="0"/>
                <w:color w:val="000000"/>
                <w:sz w:val="18"/>
                <w:szCs w:val="18"/>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182430.8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b/>
                <w:bCs/>
                <w:i w:val="0"/>
                <w:iCs w:val="0"/>
                <w:color w:val="000000"/>
                <w:sz w:val="18"/>
                <w:szCs w:val="18"/>
                <w:u w:val="none"/>
              </w:rPr>
            </w:pPr>
          </w:p>
        </w:tc>
      </w:tr>
    </w:tbl>
    <w:p>
      <w:pPr>
        <w:pStyle w:val="2"/>
        <w:rPr>
          <w:rFonts w:hint="eastAsia"/>
          <w:lang w:val="en-US" w:eastAsia="zh-CN"/>
        </w:rPr>
        <w:sectPr>
          <w:pgSz w:w="16838" w:h="11906" w:orient="landscape"/>
          <w:pgMar w:top="1134" w:right="1134" w:bottom="1134" w:left="1134" w:header="851" w:footer="737" w:gutter="0"/>
          <w:pgNumType w:fmt="decimal"/>
          <w:cols w:space="0" w:num="1"/>
          <w:docGrid w:type="lines" w:linePitch="326" w:charSpace="0"/>
        </w:sectPr>
      </w:pPr>
    </w:p>
    <w:p>
      <w:pPr>
        <w:pStyle w:val="2"/>
        <w:keepNext/>
        <w:keepLines/>
        <w:pageBreakBefore/>
        <w:widowControl w:val="0"/>
        <w:kinsoku/>
        <w:wordWrap/>
        <w:overflowPunct/>
        <w:topLinePunct w:val="0"/>
        <w:autoSpaceDE/>
        <w:autoSpaceDN/>
        <w:bidi w:val="0"/>
        <w:adjustRightInd/>
        <w:snapToGrid/>
        <w:ind w:left="482" w:leftChars="0" w:hanging="425" w:firstLineChars="0"/>
        <w:jc w:val="center"/>
        <w:textAlignment w:val="auto"/>
        <w:rPr>
          <w:rFonts w:hint="eastAsia"/>
          <w:highlight w:val="none"/>
        </w:rPr>
      </w:pPr>
      <w:bookmarkStart w:id="259" w:name="_Toc9216"/>
      <w:r>
        <w:rPr>
          <w:rFonts w:hint="eastAsia"/>
          <w:highlight w:val="none"/>
          <w:lang w:val="en-US" w:eastAsia="zh-CN"/>
        </w:rPr>
        <w:t>设计公司资质</w:t>
      </w:r>
      <w:bookmarkEnd w:id="259"/>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highlight w:val="none"/>
        </w:rPr>
      </w:pPr>
      <w:r>
        <w:drawing>
          <wp:inline distT="0" distB="0" distL="0" distR="0">
            <wp:extent cx="8150860" cy="5822950"/>
            <wp:effectExtent l="0" t="0" r="6350" b="2540"/>
            <wp:docPr id="42" name="图片 42" descr="C:\Users\Administrator\Desktop\营业执照副本18（2021年12月23日更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C:\Users\Administrator\Desktop\营业执照副本18（2021年12月23日更新）.jpg"/>
                    <pic:cNvPicPr>
                      <a:picLocks noChangeAspect="1" noChangeArrowheads="1"/>
                    </pic:cNvPicPr>
                  </pic:nvPicPr>
                  <pic:blipFill>
                    <a:blip r:embed="rId84">
                      <a:extLst>
                        <a:ext uri="{28A0092B-C50C-407E-A947-70E740481C1C}">
                          <a14:useLocalDpi xmlns:a14="http://schemas.microsoft.com/office/drawing/2010/main" val="0"/>
                        </a:ext>
                      </a:extLst>
                    </a:blip>
                    <a:srcRect l="3311" t="4259" r="4241" b="2532"/>
                    <a:stretch>
                      <a:fillRect/>
                    </a:stretch>
                  </pic:blipFill>
                  <pic:spPr>
                    <a:xfrm rot="16200000">
                      <a:off x="0" y="0"/>
                      <a:ext cx="8150860" cy="5822950"/>
                    </a:xfrm>
                    <a:prstGeom prst="rect">
                      <a:avLst/>
                    </a:prstGeom>
                    <a:noFill/>
                    <a:ln>
                      <a:noFill/>
                    </a:ln>
                  </pic:spPr>
                </pic:pic>
              </a:graphicData>
            </a:graphic>
          </wp:inline>
        </w:drawing>
      </w:r>
      <w:r>
        <w:drawing>
          <wp:inline distT="0" distB="0" distL="114300" distR="114300">
            <wp:extent cx="5680075" cy="4520565"/>
            <wp:effectExtent l="0" t="0" r="15875" b="13335"/>
            <wp:docPr id="199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 name="图片 16"/>
                    <pic:cNvPicPr>
                      <a:picLocks noChangeAspect="1"/>
                    </pic:cNvPicPr>
                  </pic:nvPicPr>
                  <pic:blipFill>
                    <a:blip r:embed="rId85"/>
                    <a:srcRect/>
                    <a:stretch>
                      <a:fillRect/>
                    </a:stretch>
                  </pic:blipFill>
                  <pic:spPr>
                    <a:xfrm>
                      <a:off x="0" y="0"/>
                      <a:ext cx="5680075" cy="4520565"/>
                    </a:xfrm>
                    <a:prstGeom prst="rect">
                      <a:avLst/>
                    </a:prstGeom>
                    <a:noFill/>
                    <a:ln>
                      <a:noFill/>
                    </a:ln>
                  </pic:spPr>
                </pic:pic>
              </a:graphicData>
            </a:graphic>
          </wp:inline>
        </w:drawing>
      </w:r>
      <w:r>
        <w:drawing>
          <wp:inline distT="0" distB="0" distL="114300" distR="114300">
            <wp:extent cx="5793105" cy="4551045"/>
            <wp:effectExtent l="0" t="0" r="17145" b="1905"/>
            <wp:docPr id="199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 name="图片 17"/>
                    <pic:cNvPicPr>
                      <a:picLocks noChangeAspect="1"/>
                    </pic:cNvPicPr>
                  </pic:nvPicPr>
                  <pic:blipFill>
                    <a:blip r:embed="rId86"/>
                    <a:stretch>
                      <a:fillRect/>
                    </a:stretch>
                  </pic:blipFill>
                  <pic:spPr>
                    <a:xfrm>
                      <a:off x="0" y="0"/>
                      <a:ext cx="5793105" cy="4551045"/>
                    </a:xfrm>
                    <a:prstGeom prst="rect">
                      <a:avLst/>
                    </a:prstGeom>
                    <a:noFill/>
                    <a:ln>
                      <a:noFill/>
                    </a:ln>
                  </pic:spPr>
                </pic:pic>
              </a:graphicData>
            </a:graphic>
          </wp:inline>
        </w:drawing>
      </w:r>
      <w:r>
        <w:drawing>
          <wp:inline distT="0" distB="0" distL="0" distR="0">
            <wp:extent cx="6147435" cy="8857615"/>
            <wp:effectExtent l="0" t="0" r="5715" b="635"/>
            <wp:docPr id="129025" name="图片 129025" descr="C:\Users\Administrator\Desktop\工程咨询单位资格证（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25" name="图片 129025" descr="C:\Users\Administrator\Desktop\工程咨询单位资格证（新）2.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6150337" cy="8861844"/>
                    </a:xfrm>
                    <a:prstGeom prst="rect">
                      <a:avLst/>
                    </a:prstGeom>
                    <a:noFill/>
                    <a:ln>
                      <a:noFill/>
                    </a:ln>
                  </pic:spPr>
                </pic:pic>
              </a:graphicData>
            </a:graphic>
          </wp:inline>
        </w:drawing>
      </w:r>
      <w:r>
        <w:drawing>
          <wp:inline distT="0" distB="0" distL="0" distR="0">
            <wp:extent cx="6067425" cy="8474710"/>
            <wp:effectExtent l="0" t="0" r="9525" b="2540"/>
            <wp:docPr id="1999" name="图片 1999" descr="F:\投标文件夹\标书资料\电子与智能化工程专业承包壹级-正本有效期2023年12月14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 name="图片 1999" descr="F:\投标文件夹\标书资料\电子与智能化工程专业承包壹级-正本有效期2023年12月14日.jpg"/>
                    <pic:cNvPicPr>
                      <a:picLocks noChangeAspect="1" noChangeArrowheads="1"/>
                    </pic:cNvPicPr>
                  </pic:nvPicPr>
                  <pic:blipFill>
                    <a:blip r:embed="rId88"/>
                    <a:srcRect/>
                    <a:stretch>
                      <a:fillRect/>
                    </a:stretch>
                  </pic:blipFill>
                  <pic:spPr>
                    <a:xfrm>
                      <a:off x="0" y="0"/>
                      <a:ext cx="6071134" cy="8480291"/>
                    </a:xfrm>
                    <a:prstGeom prst="rect">
                      <a:avLst/>
                    </a:prstGeom>
                    <a:noFill/>
                    <a:ln>
                      <a:noFill/>
                    </a:ln>
                  </pic:spPr>
                </pic:pic>
              </a:graphicData>
            </a:graphic>
          </wp:inline>
        </w:drawing>
      </w:r>
    </w:p>
    <w:sectPr>
      <w:pgSz w:w="11906" w:h="16838"/>
      <w:pgMar w:top="1134" w:right="1134" w:bottom="1134" w:left="1134" w:header="851" w:footer="737" w:gutter="0"/>
      <w:pgNumType w:fmt="decimal"/>
      <w:cols w:space="0"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ind w:firstLine="360"/>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20"/>
                      <w:ind w:firstLine="360"/>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enter" w:pos="4156"/>
        <w:tab w:val="clear" w:pos="4153"/>
      </w:tabs>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20"/>
                      <w:ind w:firstLine="360"/>
                    </w:pP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ind w:firstLine="360"/>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pPr>
                      <w:pStyle w:val="20"/>
                      <w:ind w:firstLine="360"/>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firstLine="0" w:firstLineChars="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3E785B"/>
    <w:multiLevelType w:val="singleLevel"/>
    <w:tmpl w:val="A13E785B"/>
    <w:lvl w:ilvl="0" w:tentative="0">
      <w:start w:val="1"/>
      <w:numFmt w:val="decimal"/>
      <w:lvlText w:val="(%1)"/>
      <w:lvlJc w:val="left"/>
      <w:pPr>
        <w:ind w:left="425" w:hanging="425"/>
      </w:pPr>
      <w:rPr>
        <w:rFonts w:hint="default"/>
      </w:rPr>
    </w:lvl>
  </w:abstractNum>
  <w:abstractNum w:abstractNumId="1">
    <w:nsid w:val="B00AAA07"/>
    <w:multiLevelType w:val="multilevel"/>
    <w:tmpl w:val="B00AAA07"/>
    <w:lvl w:ilvl="0" w:tentative="0">
      <w:start w:val="1"/>
      <w:numFmt w:val="decimal"/>
      <w:lvlText w:val="%1)"/>
      <w:lvlJc w:val="left"/>
      <w:pPr>
        <w:ind w:left="1131" w:hanging="420"/>
      </w:pPr>
    </w:lvl>
    <w:lvl w:ilvl="1" w:tentative="0">
      <w:start w:val="1"/>
      <w:numFmt w:val="lowerLetter"/>
      <w:lvlText w:val="%2)"/>
      <w:lvlJc w:val="left"/>
      <w:pPr>
        <w:ind w:left="1551" w:hanging="420"/>
      </w:pPr>
    </w:lvl>
    <w:lvl w:ilvl="2" w:tentative="0">
      <w:start w:val="1"/>
      <w:numFmt w:val="lowerRoman"/>
      <w:lvlText w:val="%3."/>
      <w:lvlJc w:val="right"/>
      <w:pPr>
        <w:ind w:left="1971" w:hanging="420"/>
      </w:pPr>
    </w:lvl>
    <w:lvl w:ilvl="3" w:tentative="0">
      <w:start w:val="1"/>
      <w:numFmt w:val="decimal"/>
      <w:lvlText w:val="%4."/>
      <w:lvlJc w:val="left"/>
      <w:pPr>
        <w:ind w:left="2391" w:hanging="420"/>
      </w:pPr>
    </w:lvl>
    <w:lvl w:ilvl="4" w:tentative="0">
      <w:start w:val="1"/>
      <w:numFmt w:val="lowerLetter"/>
      <w:lvlText w:val="%5)"/>
      <w:lvlJc w:val="left"/>
      <w:pPr>
        <w:ind w:left="2811" w:hanging="420"/>
      </w:pPr>
    </w:lvl>
    <w:lvl w:ilvl="5" w:tentative="0">
      <w:start w:val="1"/>
      <w:numFmt w:val="lowerRoman"/>
      <w:lvlText w:val="%6."/>
      <w:lvlJc w:val="right"/>
      <w:pPr>
        <w:ind w:left="3231" w:hanging="420"/>
      </w:pPr>
    </w:lvl>
    <w:lvl w:ilvl="6" w:tentative="0">
      <w:start w:val="1"/>
      <w:numFmt w:val="decimal"/>
      <w:lvlText w:val="%7."/>
      <w:lvlJc w:val="left"/>
      <w:pPr>
        <w:ind w:left="3651" w:hanging="420"/>
      </w:pPr>
    </w:lvl>
    <w:lvl w:ilvl="7" w:tentative="0">
      <w:start w:val="1"/>
      <w:numFmt w:val="lowerLetter"/>
      <w:lvlText w:val="%8)"/>
      <w:lvlJc w:val="left"/>
      <w:pPr>
        <w:ind w:left="4071" w:hanging="420"/>
      </w:pPr>
    </w:lvl>
    <w:lvl w:ilvl="8" w:tentative="0">
      <w:start w:val="1"/>
      <w:numFmt w:val="lowerRoman"/>
      <w:lvlText w:val="%9."/>
      <w:lvlJc w:val="right"/>
      <w:pPr>
        <w:ind w:left="4491" w:hanging="420"/>
      </w:pPr>
    </w:lvl>
  </w:abstractNum>
  <w:abstractNum w:abstractNumId="2">
    <w:nsid w:val="BF7EE77E"/>
    <w:multiLevelType w:val="singleLevel"/>
    <w:tmpl w:val="BF7EE77E"/>
    <w:lvl w:ilvl="0" w:tentative="0">
      <w:start w:val="1"/>
      <w:numFmt w:val="decimal"/>
      <w:lvlText w:val="%1)"/>
      <w:lvlJc w:val="left"/>
      <w:pPr>
        <w:ind w:left="425" w:hanging="425"/>
      </w:pPr>
      <w:rPr>
        <w:rFonts w:hint="default"/>
      </w:rPr>
    </w:lvl>
  </w:abstractNum>
  <w:abstractNum w:abstractNumId="3">
    <w:nsid w:val="DE957C85"/>
    <w:multiLevelType w:val="multilevel"/>
    <w:tmpl w:val="DE957C85"/>
    <w:lvl w:ilvl="0" w:tentative="0">
      <w:start w:val="1"/>
      <w:numFmt w:val="decimal"/>
      <w:pStyle w:val="2"/>
      <w:suff w:val="space"/>
      <w:lvlText w:val="第%1章."/>
      <w:lvlJc w:val="left"/>
      <w:pPr>
        <w:ind w:left="482" w:hanging="425"/>
      </w:pPr>
      <w:rPr>
        <w:rFonts w:hint="eastAsia" w:eastAsia="宋体"/>
        <w:b/>
        <w:i w:val="0"/>
        <w:sz w:val="44"/>
        <w:szCs w:val="44"/>
      </w:rPr>
    </w:lvl>
    <w:lvl w:ilvl="1" w:tentative="0">
      <w:start w:val="1"/>
      <w:numFmt w:val="decimal"/>
      <w:pStyle w:val="3"/>
      <w:lvlText w:val="%1.%2."/>
      <w:lvlJc w:val="left"/>
      <w:pPr>
        <w:ind w:left="482" w:hanging="425"/>
      </w:pPr>
      <w:rPr>
        <w:rFonts w:hint="eastAsia" w:ascii="宋体" w:hAnsi="宋体" w:eastAsia="宋体"/>
        <w:b/>
        <w:i w:val="0"/>
        <w:sz w:val="32"/>
        <w:szCs w:val="32"/>
      </w:rPr>
    </w:lvl>
    <w:lvl w:ilvl="2" w:tentative="0">
      <w:start w:val="1"/>
      <w:numFmt w:val="decimal"/>
      <w:pStyle w:val="4"/>
      <w:lvlText w:val="%1.%2.%3."/>
      <w:lvlJc w:val="left"/>
      <w:pPr>
        <w:ind w:left="482" w:hanging="425"/>
      </w:pPr>
      <w:rPr>
        <w:rFonts w:hint="eastAsia" w:ascii="宋体" w:hAnsi="宋体" w:eastAsia="宋体"/>
        <w:b/>
        <w:i w:val="0"/>
        <w:sz w:val="30"/>
        <w:szCs w:val="30"/>
      </w:rPr>
    </w:lvl>
    <w:lvl w:ilvl="3" w:tentative="0">
      <w:start w:val="1"/>
      <w:numFmt w:val="decimal"/>
      <w:pStyle w:val="5"/>
      <w:suff w:val="space"/>
      <w:lvlText w:val="%1.%2.%3.%4."/>
      <w:lvlJc w:val="left"/>
      <w:pPr>
        <w:ind w:left="480" w:leftChars="0" w:firstLine="0" w:firstLineChars="0"/>
      </w:pPr>
      <w:rPr>
        <w:rFonts w:hint="eastAsia" w:ascii="宋体" w:hAnsi="宋体" w:eastAsia="宋体"/>
        <w:b/>
        <w:i w:val="0"/>
        <w:sz w:val="28"/>
        <w:szCs w:val="28"/>
      </w:rPr>
    </w:lvl>
    <w:lvl w:ilvl="4" w:tentative="0">
      <w:start w:val="1"/>
      <w:numFmt w:val="decimal"/>
      <w:pStyle w:val="6"/>
      <w:lvlText w:val="%1.%2.%3.%4.%5."/>
      <w:lvlJc w:val="left"/>
      <w:pPr>
        <w:ind w:left="482" w:hanging="425"/>
      </w:pPr>
      <w:rPr>
        <w:rFonts w:hint="eastAsia" w:ascii="宋体" w:hAnsi="宋体" w:eastAsia="宋体"/>
        <w:b/>
        <w:i w:val="0"/>
        <w:sz w:val="28"/>
      </w:rPr>
    </w:lvl>
    <w:lvl w:ilvl="5" w:tentative="0">
      <w:start w:val="1"/>
      <w:numFmt w:val="decimal"/>
      <w:pStyle w:val="7"/>
      <w:lvlText w:val="%1.%2.%3.%4.%5.%6."/>
      <w:lvlJc w:val="left"/>
      <w:pPr>
        <w:ind w:left="482" w:hanging="425"/>
      </w:pPr>
      <w:rPr>
        <w:rFonts w:hint="eastAsia" w:ascii="宋体" w:hAnsi="宋体" w:eastAsia="宋体"/>
        <w:b/>
        <w:i w:val="0"/>
        <w:sz w:val="24"/>
      </w:rPr>
    </w:lvl>
    <w:lvl w:ilvl="6" w:tentative="0">
      <w:start w:val="1"/>
      <w:numFmt w:val="decimal"/>
      <w:lvlText w:val="%1.%2.%3.%4.%5.%6.%7."/>
      <w:lvlJc w:val="left"/>
      <w:pPr>
        <w:ind w:left="482" w:hanging="425"/>
      </w:pPr>
      <w:rPr>
        <w:rFonts w:hint="eastAsia"/>
      </w:rPr>
    </w:lvl>
    <w:lvl w:ilvl="7" w:tentative="0">
      <w:start w:val="1"/>
      <w:numFmt w:val="decimal"/>
      <w:lvlText w:val="%1.%2.%3.%4.%5.%6.%7.%8."/>
      <w:lvlJc w:val="left"/>
      <w:pPr>
        <w:ind w:left="482" w:hanging="425"/>
      </w:pPr>
      <w:rPr>
        <w:rFonts w:hint="eastAsia"/>
      </w:rPr>
    </w:lvl>
    <w:lvl w:ilvl="8" w:tentative="0">
      <w:start w:val="1"/>
      <w:numFmt w:val="decimal"/>
      <w:lvlText w:val="%1.%2.%3.%4.%5.%6.%7.%8.%9."/>
      <w:lvlJc w:val="left"/>
      <w:pPr>
        <w:ind w:left="482" w:hanging="425"/>
      </w:pPr>
      <w:rPr>
        <w:rFonts w:hint="eastAsia"/>
      </w:rPr>
    </w:lvl>
  </w:abstractNum>
  <w:abstractNum w:abstractNumId="4">
    <w:nsid w:val="E5578382"/>
    <w:multiLevelType w:val="multilevel"/>
    <w:tmpl w:val="E5578382"/>
    <w:lvl w:ilvl="0" w:tentative="0">
      <w:start w:val="1"/>
      <w:numFmt w:val="bullet"/>
      <w:lvlText w:val=""/>
      <w:lvlJc w:val="left"/>
      <w:pPr>
        <w:ind w:left="420" w:hanging="420"/>
      </w:pPr>
      <w:rPr>
        <w:rFonts w:hint="default" w:ascii="Wingdings" w:hAnsi="Wingdings" w:cs="Wingdings"/>
      </w:rPr>
    </w:lvl>
    <w:lvl w:ilvl="1" w:tentative="0">
      <w:start w:val="1"/>
      <w:numFmt w:val="bullet"/>
      <w:lvlText w:val=""/>
      <w:lvlJc w:val="left"/>
      <w:pPr>
        <w:ind w:left="840" w:hanging="420"/>
      </w:pPr>
      <w:rPr>
        <w:rFonts w:hint="default" w:ascii="Wingdings" w:hAnsi="Wingdings" w:cs="Wingdings"/>
      </w:rPr>
    </w:lvl>
    <w:lvl w:ilvl="2" w:tentative="0">
      <w:start w:val="1"/>
      <w:numFmt w:val="bullet"/>
      <w:lvlText w:val=""/>
      <w:lvlJc w:val="left"/>
      <w:pPr>
        <w:ind w:left="1260" w:hanging="420"/>
      </w:pPr>
      <w:rPr>
        <w:rFonts w:hint="default" w:ascii="Wingdings" w:hAnsi="Wingdings" w:cs="Wingdings"/>
      </w:rPr>
    </w:lvl>
    <w:lvl w:ilvl="3" w:tentative="0">
      <w:start w:val="1"/>
      <w:numFmt w:val="bullet"/>
      <w:lvlText w:val=""/>
      <w:lvlJc w:val="left"/>
      <w:pPr>
        <w:ind w:left="1680" w:hanging="420"/>
      </w:pPr>
      <w:rPr>
        <w:rFonts w:hint="default" w:ascii="Wingdings" w:hAnsi="Wingdings" w:cs="Wingdings"/>
      </w:rPr>
    </w:lvl>
    <w:lvl w:ilvl="4" w:tentative="0">
      <w:start w:val="1"/>
      <w:numFmt w:val="bullet"/>
      <w:lvlText w:val=""/>
      <w:lvlJc w:val="left"/>
      <w:pPr>
        <w:ind w:left="2100" w:hanging="420"/>
      </w:pPr>
      <w:rPr>
        <w:rFonts w:hint="default" w:ascii="Wingdings" w:hAnsi="Wingdings" w:cs="Wingdings"/>
      </w:rPr>
    </w:lvl>
    <w:lvl w:ilvl="5" w:tentative="0">
      <w:start w:val="1"/>
      <w:numFmt w:val="bullet"/>
      <w:lvlText w:val=""/>
      <w:lvlJc w:val="left"/>
      <w:pPr>
        <w:ind w:left="2520" w:hanging="420"/>
      </w:pPr>
      <w:rPr>
        <w:rFonts w:hint="default" w:ascii="Wingdings" w:hAnsi="Wingdings" w:cs="Wingdings"/>
      </w:rPr>
    </w:lvl>
    <w:lvl w:ilvl="6" w:tentative="0">
      <w:start w:val="1"/>
      <w:numFmt w:val="bullet"/>
      <w:lvlText w:val=""/>
      <w:lvlJc w:val="left"/>
      <w:pPr>
        <w:ind w:left="2940" w:hanging="420"/>
      </w:pPr>
      <w:rPr>
        <w:rFonts w:hint="default" w:ascii="Wingdings" w:hAnsi="Wingdings" w:cs="Wingdings"/>
      </w:rPr>
    </w:lvl>
    <w:lvl w:ilvl="7" w:tentative="0">
      <w:start w:val="1"/>
      <w:numFmt w:val="bullet"/>
      <w:lvlText w:val=""/>
      <w:lvlJc w:val="left"/>
      <w:pPr>
        <w:ind w:left="3360" w:hanging="420"/>
      </w:pPr>
      <w:rPr>
        <w:rFonts w:hint="default" w:ascii="Wingdings" w:hAnsi="Wingdings" w:cs="Wingdings"/>
      </w:rPr>
    </w:lvl>
    <w:lvl w:ilvl="8" w:tentative="0">
      <w:start w:val="1"/>
      <w:numFmt w:val="bullet"/>
      <w:lvlText w:val=""/>
      <w:lvlJc w:val="left"/>
      <w:pPr>
        <w:ind w:left="3780" w:hanging="420"/>
      </w:pPr>
      <w:rPr>
        <w:rFonts w:hint="default" w:ascii="Wingdings" w:hAnsi="Wingdings" w:cs="Wingdings"/>
      </w:rPr>
    </w:lvl>
  </w:abstractNum>
  <w:abstractNum w:abstractNumId="5">
    <w:nsid w:val="E808EEE3"/>
    <w:multiLevelType w:val="singleLevel"/>
    <w:tmpl w:val="E808EEE3"/>
    <w:lvl w:ilvl="0" w:tentative="0">
      <w:start w:val="1"/>
      <w:numFmt w:val="decimal"/>
      <w:suff w:val="nothing"/>
      <w:lvlText w:val="%1）"/>
      <w:lvlJc w:val="left"/>
    </w:lvl>
  </w:abstractNum>
  <w:abstractNum w:abstractNumId="6">
    <w:nsid w:val="EFFEEED1"/>
    <w:multiLevelType w:val="multilevel"/>
    <w:tmpl w:val="EFFEEED1"/>
    <w:lvl w:ilvl="0" w:tentative="0">
      <w:start w:val="1"/>
      <w:numFmt w:val="decimal"/>
      <w:lvlText w:val="%1)"/>
      <w:lvlJc w:val="left"/>
      <w:pPr>
        <w:ind w:left="1131" w:hanging="420"/>
      </w:pPr>
    </w:lvl>
    <w:lvl w:ilvl="1" w:tentative="0">
      <w:start w:val="1"/>
      <w:numFmt w:val="lowerLetter"/>
      <w:lvlText w:val="%2)"/>
      <w:lvlJc w:val="left"/>
      <w:pPr>
        <w:ind w:left="1551" w:hanging="420"/>
      </w:pPr>
    </w:lvl>
    <w:lvl w:ilvl="2" w:tentative="0">
      <w:start w:val="1"/>
      <w:numFmt w:val="lowerRoman"/>
      <w:lvlText w:val="%3."/>
      <w:lvlJc w:val="right"/>
      <w:pPr>
        <w:ind w:left="1971" w:hanging="420"/>
      </w:pPr>
    </w:lvl>
    <w:lvl w:ilvl="3" w:tentative="0">
      <w:start w:val="1"/>
      <w:numFmt w:val="decimal"/>
      <w:lvlText w:val="%4."/>
      <w:lvlJc w:val="left"/>
      <w:pPr>
        <w:ind w:left="2391" w:hanging="420"/>
      </w:pPr>
    </w:lvl>
    <w:lvl w:ilvl="4" w:tentative="0">
      <w:start w:val="1"/>
      <w:numFmt w:val="lowerLetter"/>
      <w:lvlText w:val="%5)"/>
      <w:lvlJc w:val="left"/>
      <w:pPr>
        <w:ind w:left="2811" w:hanging="420"/>
      </w:pPr>
    </w:lvl>
    <w:lvl w:ilvl="5" w:tentative="0">
      <w:start w:val="1"/>
      <w:numFmt w:val="lowerRoman"/>
      <w:lvlText w:val="%6."/>
      <w:lvlJc w:val="right"/>
      <w:pPr>
        <w:ind w:left="3231" w:hanging="420"/>
      </w:pPr>
    </w:lvl>
    <w:lvl w:ilvl="6" w:tentative="0">
      <w:start w:val="1"/>
      <w:numFmt w:val="decimal"/>
      <w:lvlText w:val="%7."/>
      <w:lvlJc w:val="left"/>
      <w:pPr>
        <w:ind w:left="3651" w:hanging="420"/>
      </w:pPr>
    </w:lvl>
    <w:lvl w:ilvl="7" w:tentative="0">
      <w:start w:val="1"/>
      <w:numFmt w:val="lowerLetter"/>
      <w:lvlText w:val="%8)"/>
      <w:lvlJc w:val="left"/>
      <w:pPr>
        <w:ind w:left="4071" w:hanging="420"/>
      </w:pPr>
    </w:lvl>
    <w:lvl w:ilvl="8" w:tentative="0">
      <w:start w:val="1"/>
      <w:numFmt w:val="lowerRoman"/>
      <w:lvlText w:val="%9."/>
      <w:lvlJc w:val="right"/>
      <w:pPr>
        <w:ind w:left="4491" w:hanging="420"/>
      </w:pPr>
    </w:lvl>
  </w:abstractNum>
  <w:abstractNum w:abstractNumId="7">
    <w:nsid w:val="047A6E6D"/>
    <w:multiLevelType w:val="multilevel"/>
    <w:tmpl w:val="047A6E6D"/>
    <w:lvl w:ilvl="0" w:tentative="0">
      <w:start w:val="1"/>
      <w:numFmt w:val="bullet"/>
      <w:lvlText w:val=""/>
      <w:lvlJc w:val="left"/>
      <w:pPr>
        <w:ind w:left="902" w:hanging="420"/>
      </w:pPr>
      <w:rPr>
        <w:rFonts w:hint="default" w:ascii="Wingdings" w:hAnsi="Wingdings"/>
      </w:rPr>
    </w:lvl>
    <w:lvl w:ilvl="1" w:tentative="0">
      <w:start w:val="1"/>
      <w:numFmt w:val="bullet"/>
      <w:lvlText w:val=""/>
      <w:lvlJc w:val="left"/>
      <w:pPr>
        <w:ind w:left="1322" w:hanging="420"/>
      </w:pPr>
      <w:rPr>
        <w:rFonts w:hint="default" w:ascii="Wingdings" w:hAnsi="Wingdings"/>
      </w:rPr>
    </w:lvl>
    <w:lvl w:ilvl="2" w:tentative="0">
      <w:start w:val="1"/>
      <w:numFmt w:val="bullet"/>
      <w:lvlText w:val=""/>
      <w:lvlJc w:val="left"/>
      <w:pPr>
        <w:ind w:left="1742" w:hanging="420"/>
      </w:pPr>
      <w:rPr>
        <w:rFonts w:hint="default" w:ascii="Wingdings" w:hAnsi="Wingdings"/>
      </w:rPr>
    </w:lvl>
    <w:lvl w:ilvl="3" w:tentative="0">
      <w:start w:val="1"/>
      <w:numFmt w:val="bullet"/>
      <w:lvlText w:val=""/>
      <w:lvlJc w:val="left"/>
      <w:pPr>
        <w:ind w:left="2162" w:hanging="420"/>
      </w:pPr>
      <w:rPr>
        <w:rFonts w:hint="default" w:ascii="Wingdings" w:hAnsi="Wingdings"/>
      </w:rPr>
    </w:lvl>
    <w:lvl w:ilvl="4" w:tentative="0">
      <w:start w:val="1"/>
      <w:numFmt w:val="bullet"/>
      <w:lvlText w:val=""/>
      <w:lvlJc w:val="left"/>
      <w:pPr>
        <w:ind w:left="2582" w:hanging="420"/>
      </w:pPr>
      <w:rPr>
        <w:rFonts w:hint="default" w:ascii="Wingdings" w:hAnsi="Wingdings"/>
      </w:rPr>
    </w:lvl>
    <w:lvl w:ilvl="5" w:tentative="0">
      <w:start w:val="1"/>
      <w:numFmt w:val="bullet"/>
      <w:lvlText w:val=""/>
      <w:lvlJc w:val="left"/>
      <w:pPr>
        <w:ind w:left="3002" w:hanging="420"/>
      </w:pPr>
      <w:rPr>
        <w:rFonts w:hint="default" w:ascii="Wingdings" w:hAnsi="Wingdings"/>
      </w:rPr>
    </w:lvl>
    <w:lvl w:ilvl="6" w:tentative="0">
      <w:start w:val="1"/>
      <w:numFmt w:val="bullet"/>
      <w:lvlText w:val=""/>
      <w:lvlJc w:val="left"/>
      <w:pPr>
        <w:ind w:left="3422" w:hanging="420"/>
      </w:pPr>
      <w:rPr>
        <w:rFonts w:hint="default" w:ascii="Wingdings" w:hAnsi="Wingdings"/>
      </w:rPr>
    </w:lvl>
    <w:lvl w:ilvl="7" w:tentative="0">
      <w:start w:val="1"/>
      <w:numFmt w:val="bullet"/>
      <w:lvlText w:val=""/>
      <w:lvlJc w:val="left"/>
      <w:pPr>
        <w:ind w:left="3842" w:hanging="420"/>
      </w:pPr>
      <w:rPr>
        <w:rFonts w:hint="default" w:ascii="Wingdings" w:hAnsi="Wingdings"/>
      </w:rPr>
    </w:lvl>
    <w:lvl w:ilvl="8" w:tentative="0">
      <w:start w:val="1"/>
      <w:numFmt w:val="bullet"/>
      <w:lvlText w:val=""/>
      <w:lvlJc w:val="left"/>
      <w:pPr>
        <w:ind w:left="4262" w:hanging="420"/>
      </w:pPr>
      <w:rPr>
        <w:rFonts w:hint="default" w:ascii="Wingdings" w:hAnsi="Wingdings"/>
      </w:rPr>
    </w:lvl>
  </w:abstractNum>
  <w:abstractNum w:abstractNumId="8">
    <w:nsid w:val="10584369"/>
    <w:multiLevelType w:val="multilevel"/>
    <w:tmpl w:val="10584369"/>
    <w:lvl w:ilvl="0" w:tentative="0">
      <w:start w:val="1"/>
      <w:numFmt w:val="decimal"/>
      <w:lvlText w:val="（%1）"/>
      <w:lvlJc w:val="left"/>
      <w:pPr>
        <w:ind w:left="900" w:hanging="420"/>
      </w:pPr>
      <w:rPr>
        <w:rFonts w:hint="default"/>
      </w:rPr>
    </w:lvl>
    <w:lvl w:ilvl="1" w:tentative="0">
      <w:start w:val="1"/>
      <w:numFmt w:val="decimal"/>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1DB73364"/>
    <w:multiLevelType w:val="multilevel"/>
    <w:tmpl w:val="1DB73364"/>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23B338D0"/>
    <w:multiLevelType w:val="multilevel"/>
    <w:tmpl w:val="23B338D0"/>
    <w:lvl w:ilvl="0" w:tentative="0">
      <w:start w:val="3"/>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2A77E7CF"/>
    <w:multiLevelType w:val="singleLevel"/>
    <w:tmpl w:val="2A77E7CF"/>
    <w:lvl w:ilvl="0" w:tentative="0">
      <w:start w:val="1"/>
      <w:numFmt w:val="decimal"/>
      <w:lvlText w:val="%1)"/>
      <w:lvlJc w:val="left"/>
      <w:pPr>
        <w:ind w:left="425" w:hanging="425"/>
      </w:pPr>
      <w:rPr>
        <w:rFonts w:hint="default"/>
      </w:rPr>
    </w:lvl>
  </w:abstractNum>
  <w:abstractNum w:abstractNumId="12">
    <w:nsid w:val="2BFF1897"/>
    <w:multiLevelType w:val="multilevel"/>
    <w:tmpl w:val="2BFF1897"/>
    <w:lvl w:ilvl="0" w:tentative="0">
      <w:start w:val="1"/>
      <w:numFmt w:val="decimal"/>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2C4622DF"/>
    <w:multiLevelType w:val="singleLevel"/>
    <w:tmpl w:val="2C4622DF"/>
    <w:lvl w:ilvl="0" w:tentative="0">
      <w:start w:val="1"/>
      <w:numFmt w:val="bullet"/>
      <w:lvlText w:val=""/>
      <w:lvlJc w:val="left"/>
      <w:pPr>
        <w:ind w:left="420" w:hanging="420"/>
      </w:pPr>
      <w:rPr>
        <w:rFonts w:hint="default" w:ascii="Wingdings" w:hAnsi="Wingdings"/>
      </w:rPr>
    </w:lvl>
  </w:abstractNum>
  <w:abstractNum w:abstractNumId="14">
    <w:nsid w:val="36B7520B"/>
    <w:multiLevelType w:val="multilevel"/>
    <w:tmpl w:val="36B7520B"/>
    <w:lvl w:ilvl="0" w:tentative="0">
      <w:start w:val="1"/>
      <w:numFmt w:val="decimal"/>
      <w:lvlText w:val="%1)"/>
      <w:lvlJc w:val="left"/>
      <w:pPr>
        <w:ind w:left="840" w:hanging="420"/>
      </w:pPr>
      <w:rPr>
        <w:rFonts w:hint="default" w:ascii="宋体" w:hAnsi="宋体" w:eastAsia="宋体"/>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3DD72681"/>
    <w:multiLevelType w:val="multilevel"/>
    <w:tmpl w:val="3DD7268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6">
    <w:nsid w:val="44BE3DEF"/>
    <w:multiLevelType w:val="singleLevel"/>
    <w:tmpl w:val="44BE3DEF"/>
    <w:lvl w:ilvl="0" w:tentative="0">
      <w:start w:val="1"/>
      <w:numFmt w:val="decimal"/>
      <w:lvlText w:val="%1."/>
      <w:lvlJc w:val="left"/>
      <w:pPr>
        <w:ind w:left="425" w:hanging="425"/>
      </w:pPr>
      <w:rPr>
        <w:rFonts w:hint="default"/>
      </w:rPr>
    </w:lvl>
  </w:abstractNum>
  <w:abstractNum w:abstractNumId="17">
    <w:nsid w:val="44DA31FC"/>
    <w:multiLevelType w:val="multilevel"/>
    <w:tmpl w:val="44DA31FC"/>
    <w:lvl w:ilvl="0" w:tentative="0">
      <w:start w:val="1"/>
      <w:numFmt w:val="chineseCountingThousand"/>
      <w:suff w:val="nothing"/>
      <w:lvlText w:val="第%1章"/>
      <w:lvlJc w:val="left"/>
      <w:pPr>
        <w:ind w:left="284" w:hanging="284"/>
      </w:pPr>
      <w:rPr>
        <w:rFonts w:hint="eastAsia" w:eastAsia="宋体"/>
        <w:b/>
        <w:i w:val="0"/>
        <w:sz w:val="44"/>
      </w:rPr>
    </w:lvl>
    <w:lvl w:ilvl="1" w:tentative="0">
      <w:start w:val="1"/>
      <w:numFmt w:val="none"/>
      <w:suff w:val="nothing"/>
      <w:lvlText w:val=""/>
      <w:lvlJc w:val="left"/>
      <w:pPr>
        <w:ind w:left="568" w:hanging="284"/>
      </w:pPr>
      <w:rPr>
        <w:rFonts w:hint="eastAsia"/>
      </w:rPr>
    </w:lvl>
    <w:lvl w:ilvl="2" w:tentative="0">
      <w:start w:val="1"/>
      <w:numFmt w:val="none"/>
      <w:suff w:val="nothing"/>
      <w:lvlText w:val=""/>
      <w:lvlJc w:val="left"/>
      <w:pPr>
        <w:ind w:left="852" w:hanging="284"/>
      </w:pPr>
      <w:rPr>
        <w:rFonts w:hint="eastAsia"/>
      </w:rPr>
    </w:lvl>
    <w:lvl w:ilvl="3" w:tentative="0">
      <w:start w:val="1"/>
      <w:numFmt w:val="none"/>
      <w:suff w:val="nothing"/>
      <w:lvlText w:val=""/>
      <w:lvlJc w:val="left"/>
      <w:pPr>
        <w:ind w:left="1136" w:hanging="284"/>
      </w:pPr>
      <w:rPr>
        <w:rFonts w:hint="eastAsia"/>
      </w:rPr>
    </w:lvl>
    <w:lvl w:ilvl="4" w:tentative="0">
      <w:start w:val="1"/>
      <w:numFmt w:val="none"/>
      <w:suff w:val="nothing"/>
      <w:lvlText w:val=""/>
      <w:lvlJc w:val="left"/>
      <w:pPr>
        <w:ind w:left="1420" w:hanging="284"/>
      </w:pPr>
      <w:rPr>
        <w:rFonts w:hint="eastAsia"/>
      </w:rPr>
    </w:lvl>
    <w:lvl w:ilvl="5" w:tentative="0">
      <w:start w:val="1"/>
      <w:numFmt w:val="none"/>
      <w:suff w:val="nothing"/>
      <w:lvlText w:val=""/>
      <w:lvlJc w:val="left"/>
      <w:pPr>
        <w:ind w:left="1704" w:hanging="284"/>
      </w:pPr>
      <w:rPr>
        <w:rFonts w:hint="eastAsia"/>
      </w:rPr>
    </w:lvl>
    <w:lvl w:ilvl="6" w:tentative="0">
      <w:start w:val="1"/>
      <w:numFmt w:val="none"/>
      <w:pStyle w:val="8"/>
      <w:suff w:val="nothing"/>
      <w:lvlText w:val=""/>
      <w:lvlJc w:val="left"/>
      <w:pPr>
        <w:ind w:left="1988" w:hanging="284"/>
      </w:pPr>
      <w:rPr>
        <w:rFonts w:hint="eastAsia"/>
      </w:rPr>
    </w:lvl>
    <w:lvl w:ilvl="7" w:tentative="0">
      <w:start w:val="1"/>
      <w:numFmt w:val="none"/>
      <w:pStyle w:val="9"/>
      <w:suff w:val="nothing"/>
      <w:lvlText w:val=""/>
      <w:lvlJc w:val="left"/>
      <w:pPr>
        <w:ind w:left="2272" w:hanging="284"/>
      </w:pPr>
      <w:rPr>
        <w:rFonts w:hint="eastAsia"/>
      </w:rPr>
    </w:lvl>
    <w:lvl w:ilvl="8" w:tentative="0">
      <w:start w:val="1"/>
      <w:numFmt w:val="none"/>
      <w:pStyle w:val="10"/>
      <w:suff w:val="nothing"/>
      <w:lvlText w:val=""/>
      <w:lvlJc w:val="left"/>
      <w:pPr>
        <w:ind w:left="2556" w:hanging="284"/>
      </w:pPr>
      <w:rPr>
        <w:rFonts w:hint="eastAsia"/>
      </w:rPr>
    </w:lvl>
  </w:abstractNum>
  <w:abstractNum w:abstractNumId="18">
    <w:nsid w:val="4C965989"/>
    <w:multiLevelType w:val="multilevel"/>
    <w:tmpl w:val="4C965989"/>
    <w:lvl w:ilvl="0" w:tentative="0">
      <w:start w:val="1"/>
      <w:numFmt w:val="decimal"/>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9">
    <w:nsid w:val="57C76C6F"/>
    <w:multiLevelType w:val="singleLevel"/>
    <w:tmpl w:val="57C76C6F"/>
    <w:lvl w:ilvl="0" w:tentative="0">
      <w:start w:val="1"/>
      <w:numFmt w:val="decimal"/>
      <w:lvlText w:val="%1."/>
      <w:lvlJc w:val="left"/>
      <w:pPr>
        <w:tabs>
          <w:tab w:val="left" w:pos="312"/>
        </w:tabs>
      </w:pPr>
    </w:lvl>
  </w:abstractNum>
  <w:abstractNum w:abstractNumId="20">
    <w:nsid w:val="5E7B5FC1"/>
    <w:multiLevelType w:val="multilevel"/>
    <w:tmpl w:val="5E7B5FC1"/>
    <w:lvl w:ilvl="0" w:tentative="0">
      <w:start w:val="1"/>
      <w:numFmt w:val="bullet"/>
      <w:lvlText w:val=""/>
      <w:lvlJc w:val="left"/>
      <w:pPr>
        <w:ind w:left="0" w:hanging="420"/>
      </w:pPr>
      <w:rPr>
        <w:rFonts w:hint="default" w:ascii="Wingdings" w:hAnsi="Wingdings"/>
      </w:rPr>
    </w:lvl>
    <w:lvl w:ilvl="1" w:tentative="0">
      <w:start w:val="1"/>
      <w:numFmt w:val="bullet"/>
      <w:lvlText w:val=""/>
      <w:lvlJc w:val="left"/>
      <w:pPr>
        <w:ind w:left="420" w:hanging="420"/>
      </w:pPr>
      <w:rPr>
        <w:rFonts w:hint="default" w:ascii="Wingdings" w:hAnsi="Wingdings"/>
      </w:rPr>
    </w:lvl>
    <w:lvl w:ilvl="2" w:tentative="0">
      <w:start w:val="1"/>
      <w:numFmt w:val="bullet"/>
      <w:lvlText w:val=""/>
      <w:lvlJc w:val="left"/>
      <w:pPr>
        <w:ind w:left="840" w:hanging="420"/>
      </w:pPr>
      <w:rPr>
        <w:rFonts w:hint="default" w:ascii="Wingdings" w:hAnsi="Wingdings"/>
      </w:rPr>
    </w:lvl>
    <w:lvl w:ilvl="3" w:tentative="0">
      <w:start w:val="1"/>
      <w:numFmt w:val="bullet"/>
      <w:lvlText w:val=""/>
      <w:lvlJc w:val="left"/>
      <w:pPr>
        <w:ind w:left="1260" w:hanging="420"/>
      </w:pPr>
      <w:rPr>
        <w:rFonts w:hint="default" w:ascii="Wingdings" w:hAnsi="Wingdings"/>
      </w:rPr>
    </w:lvl>
    <w:lvl w:ilvl="4" w:tentative="0">
      <w:start w:val="1"/>
      <w:numFmt w:val="bullet"/>
      <w:lvlText w:val=""/>
      <w:lvlJc w:val="left"/>
      <w:pPr>
        <w:ind w:left="1680" w:hanging="420"/>
      </w:pPr>
      <w:rPr>
        <w:rFonts w:hint="default" w:ascii="Wingdings" w:hAnsi="Wingdings"/>
      </w:rPr>
    </w:lvl>
    <w:lvl w:ilvl="5" w:tentative="0">
      <w:start w:val="1"/>
      <w:numFmt w:val="bullet"/>
      <w:lvlText w:val=""/>
      <w:lvlJc w:val="left"/>
      <w:pPr>
        <w:ind w:left="2100" w:hanging="420"/>
      </w:pPr>
      <w:rPr>
        <w:rFonts w:hint="default" w:ascii="Wingdings" w:hAnsi="Wingdings"/>
      </w:rPr>
    </w:lvl>
    <w:lvl w:ilvl="6" w:tentative="0">
      <w:start w:val="1"/>
      <w:numFmt w:val="bullet"/>
      <w:lvlText w:val=""/>
      <w:lvlJc w:val="left"/>
      <w:pPr>
        <w:ind w:left="2520" w:hanging="420"/>
      </w:pPr>
      <w:rPr>
        <w:rFonts w:hint="default" w:ascii="Wingdings" w:hAnsi="Wingdings"/>
      </w:rPr>
    </w:lvl>
    <w:lvl w:ilvl="7" w:tentative="0">
      <w:start w:val="1"/>
      <w:numFmt w:val="bullet"/>
      <w:lvlText w:val=""/>
      <w:lvlJc w:val="left"/>
      <w:pPr>
        <w:ind w:left="2940" w:hanging="420"/>
      </w:pPr>
      <w:rPr>
        <w:rFonts w:hint="default" w:ascii="Wingdings" w:hAnsi="Wingdings"/>
      </w:rPr>
    </w:lvl>
    <w:lvl w:ilvl="8" w:tentative="0">
      <w:start w:val="1"/>
      <w:numFmt w:val="bullet"/>
      <w:lvlText w:val=""/>
      <w:lvlJc w:val="left"/>
      <w:pPr>
        <w:ind w:left="3360" w:hanging="420"/>
      </w:pPr>
      <w:rPr>
        <w:rFonts w:hint="default" w:ascii="Wingdings" w:hAnsi="Wingdings"/>
      </w:rPr>
    </w:lvl>
  </w:abstractNum>
  <w:abstractNum w:abstractNumId="21">
    <w:nsid w:val="5EB56976"/>
    <w:multiLevelType w:val="singleLevel"/>
    <w:tmpl w:val="5EB56976"/>
    <w:lvl w:ilvl="0" w:tentative="0">
      <w:start w:val="1"/>
      <w:numFmt w:val="chineseCounting"/>
      <w:suff w:val="nothing"/>
      <w:lvlText w:val="%1、"/>
      <w:lvlJc w:val="left"/>
      <w:rPr>
        <w:rFonts w:hint="eastAsia"/>
        <w:highlight w:val="none"/>
      </w:rPr>
    </w:lvl>
  </w:abstractNum>
  <w:abstractNum w:abstractNumId="22">
    <w:nsid w:val="64588177"/>
    <w:multiLevelType w:val="singleLevel"/>
    <w:tmpl w:val="64588177"/>
    <w:lvl w:ilvl="0" w:tentative="0">
      <w:start w:val="1"/>
      <w:numFmt w:val="decimal"/>
      <w:suff w:val="space"/>
      <w:lvlText w:val="(%1)"/>
      <w:lvlJc w:val="left"/>
      <w:pPr>
        <w:ind w:left="905" w:hanging="425"/>
      </w:pPr>
      <w:rPr>
        <w:rFonts w:hint="default"/>
      </w:rPr>
    </w:lvl>
  </w:abstractNum>
  <w:abstractNum w:abstractNumId="23">
    <w:nsid w:val="67201226"/>
    <w:multiLevelType w:val="multilevel"/>
    <w:tmpl w:val="67201226"/>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24">
    <w:nsid w:val="73696170"/>
    <w:multiLevelType w:val="multilevel"/>
    <w:tmpl w:val="73696170"/>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5">
    <w:nsid w:val="74930A80"/>
    <w:multiLevelType w:val="multilevel"/>
    <w:tmpl w:val="74930A80"/>
    <w:lvl w:ilvl="0" w:tentative="0">
      <w:start w:val="1"/>
      <w:numFmt w:val="decimal"/>
      <w:lvlText w:val="%1."/>
      <w:lvlJc w:val="left"/>
      <w:pPr>
        <w:ind w:left="900" w:hanging="420"/>
      </w:pPr>
    </w:lvl>
    <w:lvl w:ilvl="1" w:tentative="0">
      <w:start w:val="1"/>
      <w:numFmt w:val="decimal"/>
      <w:isLgl/>
      <w:lvlText w:val="%1.%2."/>
      <w:lvlJc w:val="left"/>
      <w:pPr>
        <w:ind w:left="1260" w:hanging="780"/>
      </w:pPr>
      <w:rPr>
        <w:rFonts w:hint="default"/>
      </w:rPr>
    </w:lvl>
    <w:lvl w:ilvl="2" w:tentative="0">
      <w:start w:val="4"/>
      <w:numFmt w:val="decimal"/>
      <w:isLgl/>
      <w:lvlText w:val="%1.%2.%3."/>
      <w:lvlJc w:val="left"/>
      <w:pPr>
        <w:ind w:left="1260" w:hanging="780"/>
      </w:pPr>
      <w:rPr>
        <w:rFonts w:hint="default"/>
      </w:rPr>
    </w:lvl>
    <w:lvl w:ilvl="3" w:tentative="0">
      <w:start w:val="1"/>
      <w:numFmt w:val="decimal"/>
      <w:isLgl/>
      <w:lvlText w:val="%1.%2.%3.%4."/>
      <w:lvlJc w:val="left"/>
      <w:pPr>
        <w:ind w:left="1260" w:hanging="780"/>
      </w:pPr>
      <w:rPr>
        <w:rFonts w:hint="default"/>
      </w:rPr>
    </w:lvl>
    <w:lvl w:ilvl="4" w:tentative="0">
      <w:start w:val="1"/>
      <w:numFmt w:val="decimal"/>
      <w:isLgl/>
      <w:lvlText w:val="%1.%2.%3.%4.%5."/>
      <w:lvlJc w:val="left"/>
      <w:pPr>
        <w:ind w:left="1560" w:hanging="1080"/>
      </w:pPr>
      <w:rPr>
        <w:rFonts w:hint="default"/>
      </w:rPr>
    </w:lvl>
    <w:lvl w:ilvl="5" w:tentative="0">
      <w:start w:val="1"/>
      <w:numFmt w:val="decimal"/>
      <w:isLgl/>
      <w:lvlText w:val="%1.%2.%3.%4.%5.%6."/>
      <w:lvlJc w:val="left"/>
      <w:pPr>
        <w:ind w:left="1560" w:hanging="1080"/>
      </w:pPr>
      <w:rPr>
        <w:rFonts w:hint="default"/>
      </w:rPr>
    </w:lvl>
    <w:lvl w:ilvl="6" w:tentative="0">
      <w:start w:val="1"/>
      <w:numFmt w:val="decimal"/>
      <w:isLgl/>
      <w:lvlText w:val="%1.%2.%3.%4.%5.%6.%7."/>
      <w:lvlJc w:val="left"/>
      <w:pPr>
        <w:ind w:left="1920" w:hanging="1440"/>
      </w:pPr>
      <w:rPr>
        <w:rFonts w:hint="default"/>
      </w:rPr>
    </w:lvl>
    <w:lvl w:ilvl="7" w:tentative="0">
      <w:start w:val="1"/>
      <w:numFmt w:val="decimal"/>
      <w:isLgl/>
      <w:lvlText w:val="%1.%2.%3.%4.%5.%6.%7.%8."/>
      <w:lvlJc w:val="left"/>
      <w:pPr>
        <w:ind w:left="1920" w:hanging="1440"/>
      </w:pPr>
      <w:rPr>
        <w:rFonts w:hint="default"/>
      </w:rPr>
    </w:lvl>
    <w:lvl w:ilvl="8" w:tentative="0">
      <w:start w:val="1"/>
      <w:numFmt w:val="decimal"/>
      <w:isLgl/>
      <w:lvlText w:val="%1.%2.%3.%4.%5.%6.%7.%8.%9."/>
      <w:lvlJc w:val="left"/>
      <w:pPr>
        <w:ind w:left="2280" w:hanging="1800"/>
      </w:pPr>
      <w:rPr>
        <w:rFonts w:hint="default"/>
      </w:rPr>
    </w:lvl>
  </w:abstractNum>
  <w:abstractNum w:abstractNumId="26">
    <w:nsid w:val="788C76F2"/>
    <w:multiLevelType w:val="multilevel"/>
    <w:tmpl w:val="788C76F2"/>
    <w:lvl w:ilvl="0" w:tentative="0">
      <w:start w:val="1"/>
      <w:numFmt w:val="decimal"/>
      <w:lvlText w:val="%1."/>
      <w:lvlJc w:val="left"/>
      <w:pPr>
        <w:ind w:left="902" w:hanging="420"/>
      </w:p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27">
    <w:nsid w:val="7C9655D2"/>
    <w:multiLevelType w:val="multilevel"/>
    <w:tmpl w:val="7C9655D2"/>
    <w:lvl w:ilvl="0" w:tentative="0">
      <w:start w:val="1"/>
      <w:numFmt w:val="lowerLetter"/>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8">
    <w:nsid w:val="7D016677"/>
    <w:multiLevelType w:val="multilevel"/>
    <w:tmpl w:val="7D016677"/>
    <w:lvl w:ilvl="0" w:tentative="0">
      <w:start w:val="1"/>
      <w:numFmt w:val="lowerLetter"/>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3"/>
  </w:num>
  <w:num w:numId="2">
    <w:abstractNumId w:val="17"/>
  </w:num>
  <w:num w:numId="3">
    <w:abstractNumId w:val="21"/>
  </w:num>
  <w:num w:numId="4">
    <w:abstractNumId w:val="10"/>
  </w:num>
  <w:num w:numId="5">
    <w:abstractNumId w:val="8"/>
  </w:num>
  <w:num w:numId="6">
    <w:abstractNumId w:val="5"/>
  </w:num>
  <w:num w:numId="7">
    <w:abstractNumId w:val="16"/>
  </w:num>
  <w:num w:numId="8">
    <w:abstractNumId w:val="13"/>
  </w:num>
  <w:num w:numId="9">
    <w:abstractNumId w:val="11"/>
  </w:num>
  <w:num w:numId="10">
    <w:abstractNumId w:val="23"/>
  </w:num>
  <w:num w:numId="11">
    <w:abstractNumId w:val="4"/>
  </w:num>
  <w:num w:numId="12">
    <w:abstractNumId w:val="2"/>
  </w:num>
  <w:num w:numId="13">
    <w:abstractNumId w:val="6"/>
  </w:num>
  <w:num w:numId="14">
    <w:abstractNumId w:val="1"/>
  </w:num>
  <w:num w:numId="15">
    <w:abstractNumId w:val="14"/>
  </w:num>
  <w:num w:numId="16">
    <w:abstractNumId w:val="19"/>
  </w:num>
  <w:num w:numId="17">
    <w:abstractNumId w:val="22"/>
  </w:num>
  <w:num w:numId="18">
    <w:abstractNumId w:val="0"/>
  </w:num>
  <w:num w:numId="19">
    <w:abstractNumId w:val="24"/>
  </w:num>
  <w:num w:numId="20">
    <w:abstractNumId w:val="27"/>
  </w:num>
  <w:num w:numId="21">
    <w:abstractNumId w:val="20"/>
  </w:num>
  <w:num w:numId="22">
    <w:abstractNumId w:val="28"/>
  </w:num>
  <w:num w:numId="23">
    <w:abstractNumId w:val="7"/>
  </w:num>
  <w:num w:numId="24">
    <w:abstractNumId w:val="25"/>
  </w:num>
  <w:num w:numId="25">
    <w:abstractNumId w:val="12"/>
  </w:num>
  <w:num w:numId="26">
    <w:abstractNumId w:val="9"/>
  </w:num>
  <w:num w:numId="27">
    <w:abstractNumId w:val="26"/>
  </w:num>
  <w:num w:numId="28">
    <w:abstractNumId w:val="18"/>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VkODMxY2I1MDg3MDFiMzY5YTBiY2YxOWNlZTBiNDEifQ=="/>
  </w:docVars>
  <w:rsids>
    <w:rsidRoot w:val="00172A27"/>
    <w:rsid w:val="00000E22"/>
    <w:rsid w:val="0001105C"/>
    <w:rsid w:val="00016D77"/>
    <w:rsid w:val="000804AA"/>
    <w:rsid w:val="00085579"/>
    <w:rsid w:val="00085D17"/>
    <w:rsid w:val="0009719A"/>
    <w:rsid w:val="000D1056"/>
    <w:rsid w:val="000F2056"/>
    <w:rsid w:val="00100823"/>
    <w:rsid w:val="00104173"/>
    <w:rsid w:val="00106C15"/>
    <w:rsid w:val="0010731D"/>
    <w:rsid w:val="001124DE"/>
    <w:rsid w:val="00115DF0"/>
    <w:rsid w:val="00121D63"/>
    <w:rsid w:val="001250FB"/>
    <w:rsid w:val="001326A0"/>
    <w:rsid w:val="001328D0"/>
    <w:rsid w:val="00155121"/>
    <w:rsid w:val="0017645D"/>
    <w:rsid w:val="00182CFE"/>
    <w:rsid w:val="001853EB"/>
    <w:rsid w:val="00196AB8"/>
    <w:rsid w:val="001E1B39"/>
    <w:rsid w:val="001E5C52"/>
    <w:rsid w:val="001F4602"/>
    <w:rsid w:val="002004A7"/>
    <w:rsid w:val="002117BF"/>
    <w:rsid w:val="002174A5"/>
    <w:rsid w:val="0022131A"/>
    <w:rsid w:val="00223EC1"/>
    <w:rsid w:val="00232E43"/>
    <w:rsid w:val="002352F6"/>
    <w:rsid w:val="00242D19"/>
    <w:rsid w:val="0024655F"/>
    <w:rsid w:val="002512D3"/>
    <w:rsid w:val="00293B2D"/>
    <w:rsid w:val="002A03E4"/>
    <w:rsid w:val="002A7149"/>
    <w:rsid w:val="002B2E88"/>
    <w:rsid w:val="002B52FA"/>
    <w:rsid w:val="002D1372"/>
    <w:rsid w:val="002E0665"/>
    <w:rsid w:val="002E4523"/>
    <w:rsid w:val="002E7715"/>
    <w:rsid w:val="003033C8"/>
    <w:rsid w:val="00382643"/>
    <w:rsid w:val="00386F3F"/>
    <w:rsid w:val="00394DEE"/>
    <w:rsid w:val="003E2B43"/>
    <w:rsid w:val="003E3D54"/>
    <w:rsid w:val="003E63F0"/>
    <w:rsid w:val="004036B0"/>
    <w:rsid w:val="0042775C"/>
    <w:rsid w:val="00435743"/>
    <w:rsid w:val="004435D8"/>
    <w:rsid w:val="00447E79"/>
    <w:rsid w:val="004523B4"/>
    <w:rsid w:val="00453010"/>
    <w:rsid w:val="0046453B"/>
    <w:rsid w:val="00484ED6"/>
    <w:rsid w:val="00493BBC"/>
    <w:rsid w:val="00493E43"/>
    <w:rsid w:val="004973FD"/>
    <w:rsid w:val="004A183F"/>
    <w:rsid w:val="004A2203"/>
    <w:rsid w:val="004B1BD3"/>
    <w:rsid w:val="004C7312"/>
    <w:rsid w:val="004D78F4"/>
    <w:rsid w:val="004E10A5"/>
    <w:rsid w:val="004F3671"/>
    <w:rsid w:val="00517E00"/>
    <w:rsid w:val="00554319"/>
    <w:rsid w:val="00560091"/>
    <w:rsid w:val="00585AD3"/>
    <w:rsid w:val="00597DE7"/>
    <w:rsid w:val="005A0C2F"/>
    <w:rsid w:val="005C0C68"/>
    <w:rsid w:val="005C653C"/>
    <w:rsid w:val="005D4551"/>
    <w:rsid w:val="005D502B"/>
    <w:rsid w:val="005E1EA8"/>
    <w:rsid w:val="005F281C"/>
    <w:rsid w:val="00601559"/>
    <w:rsid w:val="006140F3"/>
    <w:rsid w:val="00616073"/>
    <w:rsid w:val="00631542"/>
    <w:rsid w:val="00637FAC"/>
    <w:rsid w:val="006A4D7C"/>
    <w:rsid w:val="006B595D"/>
    <w:rsid w:val="006E02E9"/>
    <w:rsid w:val="006E4517"/>
    <w:rsid w:val="00702D08"/>
    <w:rsid w:val="00727C1C"/>
    <w:rsid w:val="00737DAF"/>
    <w:rsid w:val="0075774A"/>
    <w:rsid w:val="00762D6E"/>
    <w:rsid w:val="007C00EB"/>
    <w:rsid w:val="007D53D2"/>
    <w:rsid w:val="007E33D8"/>
    <w:rsid w:val="00812DD3"/>
    <w:rsid w:val="008140D2"/>
    <w:rsid w:val="00821267"/>
    <w:rsid w:val="00825817"/>
    <w:rsid w:val="00825966"/>
    <w:rsid w:val="00825B4A"/>
    <w:rsid w:val="008331D1"/>
    <w:rsid w:val="00836180"/>
    <w:rsid w:val="008521A1"/>
    <w:rsid w:val="00853C0A"/>
    <w:rsid w:val="00854EF2"/>
    <w:rsid w:val="00886749"/>
    <w:rsid w:val="008A0F4C"/>
    <w:rsid w:val="008A4994"/>
    <w:rsid w:val="008A4E57"/>
    <w:rsid w:val="008B58CE"/>
    <w:rsid w:val="008B7C8D"/>
    <w:rsid w:val="0090139B"/>
    <w:rsid w:val="009115C6"/>
    <w:rsid w:val="009129C3"/>
    <w:rsid w:val="00920240"/>
    <w:rsid w:val="00927B5F"/>
    <w:rsid w:val="00937E30"/>
    <w:rsid w:val="00946FA8"/>
    <w:rsid w:val="009529EA"/>
    <w:rsid w:val="00955F1F"/>
    <w:rsid w:val="00966404"/>
    <w:rsid w:val="009943A2"/>
    <w:rsid w:val="009A14E0"/>
    <w:rsid w:val="009C0AB1"/>
    <w:rsid w:val="009C3D09"/>
    <w:rsid w:val="009C705C"/>
    <w:rsid w:val="009F621B"/>
    <w:rsid w:val="009F7B16"/>
    <w:rsid w:val="00A053C8"/>
    <w:rsid w:val="00A113D3"/>
    <w:rsid w:val="00A12A35"/>
    <w:rsid w:val="00A4370B"/>
    <w:rsid w:val="00A6219C"/>
    <w:rsid w:val="00A70FE0"/>
    <w:rsid w:val="00A7326E"/>
    <w:rsid w:val="00A84429"/>
    <w:rsid w:val="00A84543"/>
    <w:rsid w:val="00A90FAE"/>
    <w:rsid w:val="00AB4630"/>
    <w:rsid w:val="00AF1EA6"/>
    <w:rsid w:val="00B021C4"/>
    <w:rsid w:val="00B0507A"/>
    <w:rsid w:val="00B17702"/>
    <w:rsid w:val="00B25A0A"/>
    <w:rsid w:val="00B3130C"/>
    <w:rsid w:val="00B67B9E"/>
    <w:rsid w:val="00B84DD1"/>
    <w:rsid w:val="00B963D2"/>
    <w:rsid w:val="00BD1A86"/>
    <w:rsid w:val="00BD38AD"/>
    <w:rsid w:val="00BD3BBE"/>
    <w:rsid w:val="00BD5791"/>
    <w:rsid w:val="00BE14D9"/>
    <w:rsid w:val="00BF3BD1"/>
    <w:rsid w:val="00C10021"/>
    <w:rsid w:val="00C22FF0"/>
    <w:rsid w:val="00C863B2"/>
    <w:rsid w:val="00CC538C"/>
    <w:rsid w:val="00CD2E93"/>
    <w:rsid w:val="00CE1F67"/>
    <w:rsid w:val="00CF5C0D"/>
    <w:rsid w:val="00D066B5"/>
    <w:rsid w:val="00D15067"/>
    <w:rsid w:val="00D52F9B"/>
    <w:rsid w:val="00D61ACC"/>
    <w:rsid w:val="00D63472"/>
    <w:rsid w:val="00D63CB7"/>
    <w:rsid w:val="00D86C7F"/>
    <w:rsid w:val="00D9359C"/>
    <w:rsid w:val="00D94596"/>
    <w:rsid w:val="00D9600A"/>
    <w:rsid w:val="00DC50DE"/>
    <w:rsid w:val="00DD6BEA"/>
    <w:rsid w:val="00E038D3"/>
    <w:rsid w:val="00E158EF"/>
    <w:rsid w:val="00E17923"/>
    <w:rsid w:val="00E30B60"/>
    <w:rsid w:val="00E441EE"/>
    <w:rsid w:val="00E46578"/>
    <w:rsid w:val="00E56A19"/>
    <w:rsid w:val="00E77AD6"/>
    <w:rsid w:val="00E80761"/>
    <w:rsid w:val="00E85DC1"/>
    <w:rsid w:val="00EA1258"/>
    <w:rsid w:val="00EA3102"/>
    <w:rsid w:val="00EC4407"/>
    <w:rsid w:val="00EF04D7"/>
    <w:rsid w:val="00EF442E"/>
    <w:rsid w:val="00EF5E52"/>
    <w:rsid w:val="00F005AF"/>
    <w:rsid w:val="00F01651"/>
    <w:rsid w:val="00F401A0"/>
    <w:rsid w:val="00F42507"/>
    <w:rsid w:val="00F4644F"/>
    <w:rsid w:val="00F54367"/>
    <w:rsid w:val="00F8491F"/>
    <w:rsid w:val="00F92035"/>
    <w:rsid w:val="00FB5900"/>
    <w:rsid w:val="00FD1B16"/>
    <w:rsid w:val="00FD3413"/>
    <w:rsid w:val="00FF397D"/>
    <w:rsid w:val="013B2B96"/>
    <w:rsid w:val="01607E3A"/>
    <w:rsid w:val="01A9298C"/>
    <w:rsid w:val="01BC16AB"/>
    <w:rsid w:val="02396ACE"/>
    <w:rsid w:val="027C6235"/>
    <w:rsid w:val="02A91D81"/>
    <w:rsid w:val="02A96F32"/>
    <w:rsid w:val="02C447F9"/>
    <w:rsid w:val="02D3153D"/>
    <w:rsid w:val="03176272"/>
    <w:rsid w:val="03CA11A9"/>
    <w:rsid w:val="03E84337"/>
    <w:rsid w:val="04D31337"/>
    <w:rsid w:val="04DA794D"/>
    <w:rsid w:val="0529157A"/>
    <w:rsid w:val="05322502"/>
    <w:rsid w:val="053F69CD"/>
    <w:rsid w:val="05597A8E"/>
    <w:rsid w:val="05656433"/>
    <w:rsid w:val="058E1BC8"/>
    <w:rsid w:val="05D709B3"/>
    <w:rsid w:val="05D97030"/>
    <w:rsid w:val="05EF2AA1"/>
    <w:rsid w:val="05FC5DCE"/>
    <w:rsid w:val="060F45F1"/>
    <w:rsid w:val="0664493D"/>
    <w:rsid w:val="06990C5C"/>
    <w:rsid w:val="06C06980"/>
    <w:rsid w:val="07127832"/>
    <w:rsid w:val="07230354"/>
    <w:rsid w:val="079C1A74"/>
    <w:rsid w:val="07E83396"/>
    <w:rsid w:val="07FA7FDF"/>
    <w:rsid w:val="08025595"/>
    <w:rsid w:val="081C05FA"/>
    <w:rsid w:val="0854453D"/>
    <w:rsid w:val="08DD4532"/>
    <w:rsid w:val="09C877CB"/>
    <w:rsid w:val="09EC7D47"/>
    <w:rsid w:val="0A1614ED"/>
    <w:rsid w:val="0A205784"/>
    <w:rsid w:val="0A4F320E"/>
    <w:rsid w:val="0A592960"/>
    <w:rsid w:val="0A817EB9"/>
    <w:rsid w:val="0A9926DB"/>
    <w:rsid w:val="0AAE3172"/>
    <w:rsid w:val="0ACA0AE6"/>
    <w:rsid w:val="0B1351FE"/>
    <w:rsid w:val="0B462863"/>
    <w:rsid w:val="0B56067B"/>
    <w:rsid w:val="0B810ECF"/>
    <w:rsid w:val="0BF104E9"/>
    <w:rsid w:val="0C655ADA"/>
    <w:rsid w:val="0C66255E"/>
    <w:rsid w:val="0C9E222B"/>
    <w:rsid w:val="0CAA06C5"/>
    <w:rsid w:val="0D2E259A"/>
    <w:rsid w:val="0D5F7C0C"/>
    <w:rsid w:val="0DA303ED"/>
    <w:rsid w:val="0DAF4772"/>
    <w:rsid w:val="0DDC300B"/>
    <w:rsid w:val="0E1704E7"/>
    <w:rsid w:val="0E1706CD"/>
    <w:rsid w:val="0E177621"/>
    <w:rsid w:val="0E2055ED"/>
    <w:rsid w:val="0E2477DA"/>
    <w:rsid w:val="0E745543"/>
    <w:rsid w:val="0EA55A49"/>
    <w:rsid w:val="0EA62E2D"/>
    <w:rsid w:val="0EC7632D"/>
    <w:rsid w:val="0ED569E6"/>
    <w:rsid w:val="0F9D50DC"/>
    <w:rsid w:val="0FD03043"/>
    <w:rsid w:val="0FDC7931"/>
    <w:rsid w:val="0FFC3E38"/>
    <w:rsid w:val="0FFD1F33"/>
    <w:rsid w:val="101747CE"/>
    <w:rsid w:val="10340981"/>
    <w:rsid w:val="104D064D"/>
    <w:rsid w:val="10523A58"/>
    <w:rsid w:val="105772C0"/>
    <w:rsid w:val="10867CEF"/>
    <w:rsid w:val="10B85FB1"/>
    <w:rsid w:val="10D47789"/>
    <w:rsid w:val="10F979AA"/>
    <w:rsid w:val="11155C23"/>
    <w:rsid w:val="11B01FE6"/>
    <w:rsid w:val="11CF1B41"/>
    <w:rsid w:val="12A3059B"/>
    <w:rsid w:val="12F9546C"/>
    <w:rsid w:val="13077910"/>
    <w:rsid w:val="13180040"/>
    <w:rsid w:val="13243A46"/>
    <w:rsid w:val="13376342"/>
    <w:rsid w:val="137B2C9D"/>
    <w:rsid w:val="13E52BA5"/>
    <w:rsid w:val="14353475"/>
    <w:rsid w:val="14415662"/>
    <w:rsid w:val="14766DE7"/>
    <w:rsid w:val="149E2B37"/>
    <w:rsid w:val="14D75B85"/>
    <w:rsid w:val="14F036ED"/>
    <w:rsid w:val="155901BC"/>
    <w:rsid w:val="15B45BC5"/>
    <w:rsid w:val="15D94735"/>
    <w:rsid w:val="16010B0C"/>
    <w:rsid w:val="162615CB"/>
    <w:rsid w:val="163C5FD0"/>
    <w:rsid w:val="163F6652"/>
    <w:rsid w:val="16505103"/>
    <w:rsid w:val="16507C51"/>
    <w:rsid w:val="16826719"/>
    <w:rsid w:val="16D41CA9"/>
    <w:rsid w:val="16DB3E31"/>
    <w:rsid w:val="16F77127"/>
    <w:rsid w:val="170F23AF"/>
    <w:rsid w:val="17E7105A"/>
    <w:rsid w:val="1836779B"/>
    <w:rsid w:val="1852503C"/>
    <w:rsid w:val="1855363A"/>
    <w:rsid w:val="186C273C"/>
    <w:rsid w:val="186E23AE"/>
    <w:rsid w:val="189664AC"/>
    <w:rsid w:val="18AA46F1"/>
    <w:rsid w:val="18AF0101"/>
    <w:rsid w:val="18B74C00"/>
    <w:rsid w:val="18CE23F3"/>
    <w:rsid w:val="191E097B"/>
    <w:rsid w:val="19382F03"/>
    <w:rsid w:val="19946E8F"/>
    <w:rsid w:val="19EA6AAF"/>
    <w:rsid w:val="1A356660"/>
    <w:rsid w:val="1A4C7693"/>
    <w:rsid w:val="1A85384C"/>
    <w:rsid w:val="1AE25FB1"/>
    <w:rsid w:val="1B506361"/>
    <w:rsid w:val="1BDD4FE7"/>
    <w:rsid w:val="1BF86C4E"/>
    <w:rsid w:val="1C1C106F"/>
    <w:rsid w:val="1C365FDC"/>
    <w:rsid w:val="1C6C2E00"/>
    <w:rsid w:val="1C962F1E"/>
    <w:rsid w:val="1CC730D8"/>
    <w:rsid w:val="1CCB0CF6"/>
    <w:rsid w:val="1CD260C6"/>
    <w:rsid w:val="1D28343B"/>
    <w:rsid w:val="1DAE47B9"/>
    <w:rsid w:val="1DD106B2"/>
    <w:rsid w:val="1E1B44E3"/>
    <w:rsid w:val="1E446C36"/>
    <w:rsid w:val="1E7B6870"/>
    <w:rsid w:val="1EA771C9"/>
    <w:rsid w:val="1F97734B"/>
    <w:rsid w:val="1F9F58C4"/>
    <w:rsid w:val="1FB40B92"/>
    <w:rsid w:val="1FCA1375"/>
    <w:rsid w:val="1FCF6E73"/>
    <w:rsid w:val="1FDF7D6D"/>
    <w:rsid w:val="200701D2"/>
    <w:rsid w:val="2026433B"/>
    <w:rsid w:val="20881AB6"/>
    <w:rsid w:val="210C010A"/>
    <w:rsid w:val="21BE0F4D"/>
    <w:rsid w:val="221B6982"/>
    <w:rsid w:val="227635D6"/>
    <w:rsid w:val="2278184C"/>
    <w:rsid w:val="228E517E"/>
    <w:rsid w:val="228F33E5"/>
    <w:rsid w:val="22AE7FA0"/>
    <w:rsid w:val="230F7587"/>
    <w:rsid w:val="23104EFD"/>
    <w:rsid w:val="2322375E"/>
    <w:rsid w:val="23775858"/>
    <w:rsid w:val="238209A4"/>
    <w:rsid w:val="23AE6D9F"/>
    <w:rsid w:val="23B9293E"/>
    <w:rsid w:val="24015121"/>
    <w:rsid w:val="241C5374"/>
    <w:rsid w:val="2427482B"/>
    <w:rsid w:val="242C6F8B"/>
    <w:rsid w:val="24A31568"/>
    <w:rsid w:val="24C770C9"/>
    <w:rsid w:val="25442A60"/>
    <w:rsid w:val="25D16D75"/>
    <w:rsid w:val="261301D0"/>
    <w:rsid w:val="26244FE1"/>
    <w:rsid w:val="2650502E"/>
    <w:rsid w:val="26C45ED3"/>
    <w:rsid w:val="2727376E"/>
    <w:rsid w:val="27936357"/>
    <w:rsid w:val="27A9420C"/>
    <w:rsid w:val="27C36576"/>
    <w:rsid w:val="27F21145"/>
    <w:rsid w:val="28232CBE"/>
    <w:rsid w:val="2838592E"/>
    <w:rsid w:val="28414111"/>
    <w:rsid w:val="28711F3B"/>
    <w:rsid w:val="28B95641"/>
    <w:rsid w:val="293E0349"/>
    <w:rsid w:val="29457BFB"/>
    <w:rsid w:val="29937C51"/>
    <w:rsid w:val="2A9F7442"/>
    <w:rsid w:val="2B1412DA"/>
    <w:rsid w:val="2B331EB0"/>
    <w:rsid w:val="2B620C51"/>
    <w:rsid w:val="2B7226EA"/>
    <w:rsid w:val="2B89252C"/>
    <w:rsid w:val="2BB159E2"/>
    <w:rsid w:val="2BF320FC"/>
    <w:rsid w:val="2C1F5DAE"/>
    <w:rsid w:val="2C260891"/>
    <w:rsid w:val="2C630498"/>
    <w:rsid w:val="2CAA608D"/>
    <w:rsid w:val="2CCC221C"/>
    <w:rsid w:val="2D2D54A2"/>
    <w:rsid w:val="2D3C541C"/>
    <w:rsid w:val="2D713318"/>
    <w:rsid w:val="2DB15424"/>
    <w:rsid w:val="2DF301D1"/>
    <w:rsid w:val="2E1E3BB2"/>
    <w:rsid w:val="2E5642BC"/>
    <w:rsid w:val="2E5F13C2"/>
    <w:rsid w:val="2EB01C1E"/>
    <w:rsid w:val="2F047434"/>
    <w:rsid w:val="2F32147B"/>
    <w:rsid w:val="2F8F441F"/>
    <w:rsid w:val="2FEA7DFF"/>
    <w:rsid w:val="30697C0E"/>
    <w:rsid w:val="30797C15"/>
    <w:rsid w:val="308B51BC"/>
    <w:rsid w:val="3104654E"/>
    <w:rsid w:val="31DB3A44"/>
    <w:rsid w:val="31E932FE"/>
    <w:rsid w:val="323D7C6C"/>
    <w:rsid w:val="32966C42"/>
    <w:rsid w:val="331A7FAD"/>
    <w:rsid w:val="33544FD9"/>
    <w:rsid w:val="33663C27"/>
    <w:rsid w:val="341366EE"/>
    <w:rsid w:val="34C77851"/>
    <w:rsid w:val="350D001E"/>
    <w:rsid w:val="35634299"/>
    <w:rsid w:val="360A4309"/>
    <w:rsid w:val="363B18A1"/>
    <w:rsid w:val="36512E85"/>
    <w:rsid w:val="36D52B69"/>
    <w:rsid w:val="371C644F"/>
    <w:rsid w:val="374B4BD9"/>
    <w:rsid w:val="375A668F"/>
    <w:rsid w:val="37791434"/>
    <w:rsid w:val="3857135C"/>
    <w:rsid w:val="3876144E"/>
    <w:rsid w:val="388D77A1"/>
    <w:rsid w:val="38DD65F2"/>
    <w:rsid w:val="396E1053"/>
    <w:rsid w:val="39923999"/>
    <w:rsid w:val="39CF6C18"/>
    <w:rsid w:val="39D948A7"/>
    <w:rsid w:val="39F71B77"/>
    <w:rsid w:val="3A0B6CA0"/>
    <w:rsid w:val="3A4B6C9E"/>
    <w:rsid w:val="3AD969A0"/>
    <w:rsid w:val="3B245E6D"/>
    <w:rsid w:val="3B60196D"/>
    <w:rsid w:val="3B803D1F"/>
    <w:rsid w:val="3BC76540"/>
    <w:rsid w:val="3C1E37D7"/>
    <w:rsid w:val="3C2C66FE"/>
    <w:rsid w:val="3C351E3D"/>
    <w:rsid w:val="3C6E1A11"/>
    <w:rsid w:val="3C7914EC"/>
    <w:rsid w:val="3C905550"/>
    <w:rsid w:val="3CD92C87"/>
    <w:rsid w:val="3DE64572"/>
    <w:rsid w:val="3E3F1139"/>
    <w:rsid w:val="3E5460AB"/>
    <w:rsid w:val="3E627B03"/>
    <w:rsid w:val="3E703059"/>
    <w:rsid w:val="3E704F26"/>
    <w:rsid w:val="3E7B1405"/>
    <w:rsid w:val="3EE020AB"/>
    <w:rsid w:val="3F0949DE"/>
    <w:rsid w:val="3F3D74FE"/>
    <w:rsid w:val="3F6C2D68"/>
    <w:rsid w:val="3F964E60"/>
    <w:rsid w:val="3FC6325B"/>
    <w:rsid w:val="3FCB2D5B"/>
    <w:rsid w:val="3FEB336E"/>
    <w:rsid w:val="402C6682"/>
    <w:rsid w:val="4044666A"/>
    <w:rsid w:val="40786313"/>
    <w:rsid w:val="40A52E97"/>
    <w:rsid w:val="40CB5856"/>
    <w:rsid w:val="410148B1"/>
    <w:rsid w:val="410F312D"/>
    <w:rsid w:val="41171626"/>
    <w:rsid w:val="4136379D"/>
    <w:rsid w:val="414A4154"/>
    <w:rsid w:val="41B61C24"/>
    <w:rsid w:val="422A4394"/>
    <w:rsid w:val="42333557"/>
    <w:rsid w:val="425A03C6"/>
    <w:rsid w:val="42934DF0"/>
    <w:rsid w:val="430E47FE"/>
    <w:rsid w:val="434C6DAF"/>
    <w:rsid w:val="434F4BBA"/>
    <w:rsid w:val="43B41089"/>
    <w:rsid w:val="44044A8E"/>
    <w:rsid w:val="4471685E"/>
    <w:rsid w:val="44E40F95"/>
    <w:rsid w:val="44E47840"/>
    <w:rsid w:val="44FD04E6"/>
    <w:rsid w:val="45050396"/>
    <w:rsid w:val="455D55AF"/>
    <w:rsid w:val="456821BF"/>
    <w:rsid w:val="456B6447"/>
    <w:rsid w:val="45B222C8"/>
    <w:rsid w:val="463222E7"/>
    <w:rsid w:val="46A61876"/>
    <w:rsid w:val="46A82DEF"/>
    <w:rsid w:val="46CA698A"/>
    <w:rsid w:val="46CB1476"/>
    <w:rsid w:val="46DC72C0"/>
    <w:rsid w:val="477C35C2"/>
    <w:rsid w:val="478C1770"/>
    <w:rsid w:val="47F941DE"/>
    <w:rsid w:val="481052EC"/>
    <w:rsid w:val="48280889"/>
    <w:rsid w:val="4909512A"/>
    <w:rsid w:val="49AA57E4"/>
    <w:rsid w:val="49CA5FD5"/>
    <w:rsid w:val="49E95F31"/>
    <w:rsid w:val="4A0455B4"/>
    <w:rsid w:val="4A3634C7"/>
    <w:rsid w:val="4A4365D1"/>
    <w:rsid w:val="4A604F13"/>
    <w:rsid w:val="4AA42D45"/>
    <w:rsid w:val="4AC76815"/>
    <w:rsid w:val="4B0460EE"/>
    <w:rsid w:val="4B702EEA"/>
    <w:rsid w:val="4BD23AC6"/>
    <w:rsid w:val="4BD9317E"/>
    <w:rsid w:val="4C7B6314"/>
    <w:rsid w:val="4D6864A1"/>
    <w:rsid w:val="4D691211"/>
    <w:rsid w:val="4D71569E"/>
    <w:rsid w:val="4E3A670D"/>
    <w:rsid w:val="4E6D01EE"/>
    <w:rsid w:val="4EB0646C"/>
    <w:rsid w:val="4EB86669"/>
    <w:rsid w:val="4EBA2D5F"/>
    <w:rsid w:val="4F181EBB"/>
    <w:rsid w:val="4F196CBA"/>
    <w:rsid w:val="4F9E4B30"/>
    <w:rsid w:val="50454A11"/>
    <w:rsid w:val="504A0515"/>
    <w:rsid w:val="50564112"/>
    <w:rsid w:val="50AA4350"/>
    <w:rsid w:val="50F27458"/>
    <w:rsid w:val="511A7AD4"/>
    <w:rsid w:val="5174580F"/>
    <w:rsid w:val="517F5754"/>
    <w:rsid w:val="51C8031F"/>
    <w:rsid w:val="51CE3F4A"/>
    <w:rsid w:val="52AD3DFE"/>
    <w:rsid w:val="52E923B8"/>
    <w:rsid w:val="52EE3977"/>
    <w:rsid w:val="52F061DD"/>
    <w:rsid w:val="52FD14CF"/>
    <w:rsid w:val="53021840"/>
    <w:rsid w:val="544B78E9"/>
    <w:rsid w:val="55480D9C"/>
    <w:rsid w:val="559C7D8B"/>
    <w:rsid w:val="55AF42A5"/>
    <w:rsid w:val="55B6370E"/>
    <w:rsid w:val="55CE01A8"/>
    <w:rsid w:val="5612055D"/>
    <w:rsid w:val="56150435"/>
    <w:rsid w:val="561843C9"/>
    <w:rsid w:val="56521689"/>
    <w:rsid w:val="566E47B3"/>
    <w:rsid w:val="568A2F88"/>
    <w:rsid w:val="5702376B"/>
    <w:rsid w:val="571C7E9A"/>
    <w:rsid w:val="57411DDB"/>
    <w:rsid w:val="575429DA"/>
    <w:rsid w:val="57663DA7"/>
    <w:rsid w:val="57842779"/>
    <w:rsid w:val="5789041A"/>
    <w:rsid w:val="57DB4245"/>
    <w:rsid w:val="57E76C8D"/>
    <w:rsid w:val="583B7EFB"/>
    <w:rsid w:val="583F0C61"/>
    <w:rsid w:val="589904CB"/>
    <w:rsid w:val="58A23910"/>
    <w:rsid w:val="58DA2EFB"/>
    <w:rsid w:val="590F3861"/>
    <w:rsid w:val="591D560F"/>
    <w:rsid w:val="593603FB"/>
    <w:rsid w:val="5A746A20"/>
    <w:rsid w:val="5A9C39DC"/>
    <w:rsid w:val="5B330ACF"/>
    <w:rsid w:val="5BE626E4"/>
    <w:rsid w:val="5CCC506A"/>
    <w:rsid w:val="5DC70453"/>
    <w:rsid w:val="5E4217EB"/>
    <w:rsid w:val="5E4818E3"/>
    <w:rsid w:val="5E763A82"/>
    <w:rsid w:val="5EBD5B0D"/>
    <w:rsid w:val="5EEC0086"/>
    <w:rsid w:val="5F355D97"/>
    <w:rsid w:val="5F4B7D0C"/>
    <w:rsid w:val="5FC525C6"/>
    <w:rsid w:val="5FD5709D"/>
    <w:rsid w:val="60510DA9"/>
    <w:rsid w:val="60B27D64"/>
    <w:rsid w:val="60CE43DC"/>
    <w:rsid w:val="612C0174"/>
    <w:rsid w:val="61474874"/>
    <w:rsid w:val="615664D0"/>
    <w:rsid w:val="621B3277"/>
    <w:rsid w:val="62A64047"/>
    <w:rsid w:val="62AF702B"/>
    <w:rsid w:val="62F91A3C"/>
    <w:rsid w:val="639729DA"/>
    <w:rsid w:val="641A78C3"/>
    <w:rsid w:val="64315F4F"/>
    <w:rsid w:val="644D5916"/>
    <w:rsid w:val="647B6542"/>
    <w:rsid w:val="64902BFE"/>
    <w:rsid w:val="64DD4813"/>
    <w:rsid w:val="64F07A77"/>
    <w:rsid w:val="64FC4B4F"/>
    <w:rsid w:val="65000B1D"/>
    <w:rsid w:val="652D6425"/>
    <w:rsid w:val="656C7F53"/>
    <w:rsid w:val="66383CCB"/>
    <w:rsid w:val="66AC7D4D"/>
    <w:rsid w:val="66FE7ED9"/>
    <w:rsid w:val="67236161"/>
    <w:rsid w:val="67DA5B70"/>
    <w:rsid w:val="68B674DA"/>
    <w:rsid w:val="68B95F67"/>
    <w:rsid w:val="69643755"/>
    <w:rsid w:val="69685105"/>
    <w:rsid w:val="69827B0E"/>
    <w:rsid w:val="69B144C0"/>
    <w:rsid w:val="69E5522B"/>
    <w:rsid w:val="69E74A0C"/>
    <w:rsid w:val="6A902328"/>
    <w:rsid w:val="6A961395"/>
    <w:rsid w:val="6AB44268"/>
    <w:rsid w:val="6C3933DC"/>
    <w:rsid w:val="6C71329E"/>
    <w:rsid w:val="6CB273AD"/>
    <w:rsid w:val="6CED3A62"/>
    <w:rsid w:val="6CF85CC7"/>
    <w:rsid w:val="6D250DED"/>
    <w:rsid w:val="6D8A6DD2"/>
    <w:rsid w:val="6DC511CC"/>
    <w:rsid w:val="6DEC0941"/>
    <w:rsid w:val="6E3B25AB"/>
    <w:rsid w:val="6E492F1A"/>
    <w:rsid w:val="6E6B7C00"/>
    <w:rsid w:val="6E6C6C08"/>
    <w:rsid w:val="6EC8639B"/>
    <w:rsid w:val="6F0C3E37"/>
    <w:rsid w:val="6F2A4AF9"/>
    <w:rsid w:val="6F302AEF"/>
    <w:rsid w:val="6F86680C"/>
    <w:rsid w:val="6FAA64BF"/>
    <w:rsid w:val="6FD86DF5"/>
    <w:rsid w:val="6FDE2232"/>
    <w:rsid w:val="70207CAA"/>
    <w:rsid w:val="708332C1"/>
    <w:rsid w:val="71015151"/>
    <w:rsid w:val="712B2562"/>
    <w:rsid w:val="71666ACE"/>
    <w:rsid w:val="717C7162"/>
    <w:rsid w:val="71A30B93"/>
    <w:rsid w:val="724B4E42"/>
    <w:rsid w:val="72556331"/>
    <w:rsid w:val="72800ED4"/>
    <w:rsid w:val="72AB72EF"/>
    <w:rsid w:val="72F9177F"/>
    <w:rsid w:val="72F96B8A"/>
    <w:rsid w:val="730457D3"/>
    <w:rsid w:val="73271010"/>
    <w:rsid w:val="740F205D"/>
    <w:rsid w:val="74396A98"/>
    <w:rsid w:val="74791404"/>
    <w:rsid w:val="74F063AB"/>
    <w:rsid w:val="74F46359"/>
    <w:rsid w:val="75B63F40"/>
    <w:rsid w:val="767E1B72"/>
    <w:rsid w:val="76B31878"/>
    <w:rsid w:val="76E41A31"/>
    <w:rsid w:val="76FA1FD9"/>
    <w:rsid w:val="77115305"/>
    <w:rsid w:val="77834404"/>
    <w:rsid w:val="779A11EE"/>
    <w:rsid w:val="77EB46BF"/>
    <w:rsid w:val="78120820"/>
    <w:rsid w:val="781C60E4"/>
    <w:rsid w:val="783720CB"/>
    <w:rsid w:val="78B34E06"/>
    <w:rsid w:val="78E555D8"/>
    <w:rsid w:val="7A164643"/>
    <w:rsid w:val="7A2411A2"/>
    <w:rsid w:val="7A410F49"/>
    <w:rsid w:val="7A5213A8"/>
    <w:rsid w:val="7A9A4854"/>
    <w:rsid w:val="7AC2652D"/>
    <w:rsid w:val="7B3A2B3C"/>
    <w:rsid w:val="7B445194"/>
    <w:rsid w:val="7B876E2F"/>
    <w:rsid w:val="7BC02341"/>
    <w:rsid w:val="7C0C69AB"/>
    <w:rsid w:val="7C1A4F32"/>
    <w:rsid w:val="7C1B08DE"/>
    <w:rsid w:val="7C48330F"/>
    <w:rsid w:val="7D1630D3"/>
    <w:rsid w:val="7D9C12B8"/>
    <w:rsid w:val="7E353C07"/>
    <w:rsid w:val="7E7C64AA"/>
    <w:rsid w:val="7ECA749C"/>
    <w:rsid w:val="7ECB797B"/>
    <w:rsid w:val="7F062761"/>
    <w:rsid w:val="7F625BE9"/>
    <w:rsid w:val="7FCD6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heme="minorBidi"/>
      <w:kern w:val="2"/>
      <w:sz w:val="24"/>
      <w:szCs w:val="22"/>
      <w:lang w:val="en-US" w:eastAsia="zh-CN" w:bidi="ar-SA"/>
    </w:rPr>
  </w:style>
  <w:style w:type="paragraph" w:styleId="2">
    <w:name w:val="heading 1"/>
    <w:basedOn w:val="1"/>
    <w:next w:val="1"/>
    <w:link w:val="35"/>
    <w:qFormat/>
    <w:uiPriority w:val="9"/>
    <w:pPr>
      <w:keepNext/>
      <w:keepLines/>
      <w:numPr>
        <w:ilvl w:val="0"/>
        <w:numId w:val="1"/>
      </w:numPr>
      <w:spacing w:before="340" w:after="330"/>
      <w:ind w:hanging="425" w:firstLineChars="0"/>
      <w:outlineLvl w:val="0"/>
    </w:pPr>
    <w:rPr>
      <w:b/>
      <w:bCs/>
      <w:kern w:val="44"/>
      <w:sz w:val="44"/>
      <w:szCs w:val="44"/>
    </w:rPr>
  </w:style>
  <w:style w:type="paragraph" w:styleId="3">
    <w:name w:val="heading 2"/>
    <w:basedOn w:val="1"/>
    <w:next w:val="1"/>
    <w:link w:val="36"/>
    <w:unhideWhenUsed/>
    <w:qFormat/>
    <w:uiPriority w:val="0"/>
    <w:pPr>
      <w:keepNext/>
      <w:keepLines/>
      <w:numPr>
        <w:ilvl w:val="1"/>
        <w:numId w:val="1"/>
      </w:numPr>
      <w:spacing w:before="260" w:after="260"/>
      <w:ind w:hanging="425" w:firstLineChars="0"/>
      <w:outlineLvl w:val="1"/>
    </w:pPr>
    <w:rPr>
      <w:rFonts w:cstheme="majorBidi"/>
      <w:b/>
      <w:bCs/>
      <w:sz w:val="36"/>
      <w:szCs w:val="32"/>
    </w:rPr>
  </w:style>
  <w:style w:type="paragraph" w:styleId="4">
    <w:name w:val="heading 3"/>
    <w:basedOn w:val="1"/>
    <w:next w:val="1"/>
    <w:link w:val="37"/>
    <w:unhideWhenUsed/>
    <w:qFormat/>
    <w:uiPriority w:val="9"/>
    <w:pPr>
      <w:keepNext/>
      <w:keepLines/>
      <w:numPr>
        <w:ilvl w:val="2"/>
        <w:numId w:val="1"/>
      </w:numPr>
      <w:spacing w:before="260" w:after="260" w:line="415" w:lineRule="auto"/>
      <w:ind w:hanging="425" w:firstLineChars="0"/>
      <w:outlineLvl w:val="2"/>
    </w:pPr>
    <w:rPr>
      <w:b/>
      <w:bCs/>
      <w:sz w:val="30"/>
      <w:szCs w:val="32"/>
    </w:rPr>
  </w:style>
  <w:style w:type="paragraph" w:styleId="5">
    <w:name w:val="heading 4"/>
    <w:basedOn w:val="1"/>
    <w:next w:val="1"/>
    <w:link w:val="38"/>
    <w:unhideWhenUsed/>
    <w:qFormat/>
    <w:uiPriority w:val="9"/>
    <w:pPr>
      <w:keepNext/>
      <w:keepLines/>
      <w:numPr>
        <w:ilvl w:val="3"/>
        <w:numId w:val="1"/>
      </w:numPr>
      <w:spacing w:before="260" w:after="260" w:line="377" w:lineRule="auto"/>
      <w:ind w:left="0" w:firstLine="0" w:firstLineChars="0"/>
      <w:outlineLvl w:val="3"/>
    </w:pPr>
    <w:rPr>
      <w:rFonts w:asciiTheme="majorHAnsi" w:hAnsiTheme="majorHAnsi" w:cstheme="majorBidi"/>
      <w:b/>
      <w:bCs/>
      <w:sz w:val="28"/>
      <w:szCs w:val="28"/>
    </w:rPr>
  </w:style>
  <w:style w:type="paragraph" w:styleId="6">
    <w:name w:val="heading 5"/>
    <w:basedOn w:val="1"/>
    <w:next w:val="1"/>
    <w:link w:val="39"/>
    <w:unhideWhenUsed/>
    <w:qFormat/>
    <w:uiPriority w:val="9"/>
    <w:pPr>
      <w:keepNext/>
      <w:keepLines/>
      <w:numPr>
        <w:ilvl w:val="4"/>
        <w:numId w:val="1"/>
      </w:numPr>
      <w:spacing w:before="260" w:after="260" w:line="377" w:lineRule="auto"/>
      <w:ind w:hanging="425" w:firstLineChars="0"/>
      <w:outlineLvl w:val="4"/>
    </w:pPr>
    <w:rPr>
      <w:b/>
      <w:bCs/>
      <w:sz w:val="28"/>
      <w:szCs w:val="28"/>
    </w:rPr>
  </w:style>
  <w:style w:type="paragraph" w:styleId="7">
    <w:name w:val="heading 6"/>
    <w:basedOn w:val="1"/>
    <w:next w:val="1"/>
    <w:link w:val="40"/>
    <w:unhideWhenUsed/>
    <w:qFormat/>
    <w:uiPriority w:val="9"/>
    <w:pPr>
      <w:keepNext/>
      <w:keepLines/>
      <w:numPr>
        <w:ilvl w:val="5"/>
        <w:numId w:val="1"/>
      </w:numPr>
      <w:spacing w:before="240" w:after="64" w:line="319" w:lineRule="auto"/>
      <w:ind w:hanging="425" w:firstLineChars="0"/>
      <w:outlineLvl w:val="5"/>
    </w:pPr>
    <w:rPr>
      <w:rFonts w:asciiTheme="majorHAnsi" w:hAnsiTheme="majorHAnsi" w:cstheme="majorBidi"/>
      <w:b/>
      <w:bCs/>
      <w:szCs w:val="24"/>
    </w:rPr>
  </w:style>
  <w:style w:type="paragraph" w:styleId="8">
    <w:name w:val="heading 7"/>
    <w:basedOn w:val="1"/>
    <w:next w:val="1"/>
    <w:link w:val="41"/>
    <w:unhideWhenUsed/>
    <w:qFormat/>
    <w:uiPriority w:val="9"/>
    <w:pPr>
      <w:keepNext/>
      <w:keepLines/>
      <w:numPr>
        <w:ilvl w:val="6"/>
        <w:numId w:val="2"/>
      </w:numPr>
      <w:spacing w:before="240" w:after="64" w:line="320" w:lineRule="auto"/>
      <w:outlineLvl w:val="6"/>
    </w:pPr>
    <w:rPr>
      <w:b/>
      <w:bCs/>
      <w:szCs w:val="24"/>
    </w:rPr>
  </w:style>
  <w:style w:type="paragraph" w:styleId="9">
    <w:name w:val="heading 8"/>
    <w:basedOn w:val="1"/>
    <w:next w:val="1"/>
    <w:link w:val="42"/>
    <w:semiHidden/>
    <w:unhideWhenUsed/>
    <w:qFormat/>
    <w:uiPriority w:val="9"/>
    <w:pPr>
      <w:keepNext/>
      <w:keepLines/>
      <w:numPr>
        <w:ilvl w:val="7"/>
        <w:numId w:val="2"/>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next w:val="1"/>
    <w:link w:val="43"/>
    <w:semiHidden/>
    <w:unhideWhenUsed/>
    <w:qFormat/>
    <w:uiPriority w:val="9"/>
    <w:pPr>
      <w:keepNext/>
      <w:keepLines/>
      <w:numPr>
        <w:ilvl w:val="8"/>
        <w:numId w:val="2"/>
      </w:numPr>
      <w:spacing w:before="240" w:after="64" w:line="320" w:lineRule="auto"/>
      <w:outlineLvl w:val="8"/>
    </w:pPr>
    <w:rPr>
      <w:rFonts w:asciiTheme="majorHAnsi" w:hAnsiTheme="majorHAnsi" w:eastAsiaTheme="majorEastAsia" w:cstheme="majorBidi"/>
      <w:szCs w:val="21"/>
    </w:rPr>
  </w:style>
  <w:style w:type="character" w:default="1" w:styleId="30">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line="240" w:lineRule="auto"/>
      <w:ind w:left="2520" w:leftChars="1200" w:firstLine="0" w:firstLineChars="0"/>
    </w:pPr>
    <w:rPr>
      <w:rFonts w:asciiTheme="minorHAnsi" w:hAnsiTheme="minorHAnsi" w:eastAsiaTheme="minorEastAsia"/>
      <w:sz w:val="21"/>
    </w:rPr>
  </w:style>
  <w:style w:type="paragraph" w:styleId="12">
    <w:name w:val="Normal Indent"/>
    <w:basedOn w:val="1"/>
    <w:unhideWhenUsed/>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 w:type="paragraph" w:styleId="13">
    <w:name w:val="annotation text"/>
    <w:basedOn w:val="1"/>
    <w:link w:val="60"/>
    <w:semiHidden/>
    <w:unhideWhenUsed/>
    <w:qFormat/>
    <w:uiPriority w:val="99"/>
    <w:pPr>
      <w:jc w:val="left"/>
    </w:pPr>
  </w:style>
  <w:style w:type="paragraph" w:styleId="14">
    <w:name w:val="Body Text"/>
    <w:basedOn w:val="1"/>
    <w:qFormat/>
    <w:uiPriority w:val="0"/>
    <w:pPr>
      <w:spacing w:after="120"/>
    </w:pPr>
  </w:style>
  <w:style w:type="paragraph" w:styleId="15">
    <w:name w:val="toc 5"/>
    <w:basedOn w:val="1"/>
    <w:next w:val="1"/>
    <w:unhideWhenUsed/>
    <w:qFormat/>
    <w:uiPriority w:val="39"/>
    <w:pPr>
      <w:spacing w:line="240" w:lineRule="auto"/>
      <w:ind w:left="1680" w:leftChars="800" w:firstLine="0" w:firstLineChars="0"/>
    </w:pPr>
    <w:rPr>
      <w:rFonts w:asciiTheme="minorHAnsi" w:hAnsiTheme="minorHAnsi" w:eastAsiaTheme="minorEastAsia"/>
      <w:sz w:val="21"/>
    </w:rPr>
  </w:style>
  <w:style w:type="paragraph" w:styleId="16">
    <w:name w:val="toc 3"/>
    <w:basedOn w:val="1"/>
    <w:next w:val="1"/>
    <w:unhideWhenUsed/>
    <w:qFormat/>
    <w:uiPriority w:val="39"/>
    <w:pPr>
      <w:ind w:left="840" w:leftChars="400"/>
    </w:pPr>
  </w:style>
  <w:style w:type="paragraph" w:styleId="17">
    <w:name w:val="toc 8"/>
    <w:basedOn w:val="1"/>
    <w:next w:val="1"/>
    <w:unhideWhenUsed/>
    <w:qFormat/>
    <w:uiPriority w:val="39"/>
    <w:pPr>
      <w:spacing w:line="240" w:lineRule="auto"/>
      <w:ind w:left="2940" w:leftChars="1400" w:firstLine="0" w:firstLineChars="0"/>
    </w:pPr>
    <w:rPr>
      <w:rFonts w:asciiTheme="minorHAnsi" w:hAnsiTheme="minorHAnsi" w:eastAsiaTheme="minorEastAsia"/>
      <w:sz w:val="21"/>
    </w:rPr>
  </w:style>
  <w:style w:type="paragraph" w:styleId="18">
    <w:name w:val="Date"/>
    <w:basedOn w:val="1"/>
    <w:next w:val="1"/>
    <w:link w:val="51"/>
    <w:semiHidden/>
    <w:unhideWhenUsed/>
    <w:qFormat/>
    <w:uiPriority w:val="99"/>
    <w:pPr>
      <w:ind w:left="100" w:leftChars="2500"/>
    </w:pPr>
  </w:style>
  <w:style w:type="paragraph" w:styleId="19">
    <w:name w:val="Balloon Text"/>
    <w:basedOn w:val="1"/>
    <w:link w:val="50"/>
    <w:semiHidden/>
    <w:unhideWhenUsed/>
    <w:qFormat/>
    <w:uiPriority w:val="99"/>
    <w:pPr>
      <w:spacing w:line="240" w:lineRule="auto"/>
    </w:pPr>
    <w:rPr>
      <w:sz w:val="18"/>
      <w:szCs w:val="18"/>
    </w:rPr>
  </w:style>
  <w:style w:type="paragraph" w:styleId="20">
    <w:name w:val="footer"/>
    <w:basedOn w:val="1"/>
    <w:link w:val="45"/>
    <w:unhideWhenUsed/>
    <w:qFormat/>
    <w:uiPriority w:val="99"/>
    <w:pPr>
      <w:tabs>
        <w:tab w:val="center" w:pos="4153"/>
        <w:tab w:val="right" w:pos="8306"/>
      </w:tabs>
      <w:snapToGrid w:val="0"/>
      <w:jc w:val="left"/>
    </w:pPr>
    <w:rPr>
      <w:sz w:val="18"/>
      <w:szCs w:val="18"/>
    </w:rPr>
  </w:style>
  <w:style w:type="paragraph" w:styleId="21">
    <w:name w:val="header"/>
    <w:basedOn w:val="1"/>
    <w:link w:val="44"/>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unhideWhenUsed/>
    <w:qFormat/>
    <w:uiPriority w:val="39"/>
  </w:style>
  <w:style w:type="paragraph" w:styleId="23">
    <w:name w:val="toc 4"/>
    <w:basedOn w:val="1"/>
    <w:next w:val="1"/>
    <w:unhideWhenUsed/>
    <w:qFormat/>
    <w:uiPriority w:val="39"/>
    <w:pPr>
      <w:spacing w:line="240" w:lineRule="auto"/>
      <w:ind w:left="1260" w:leftChars="600" w:firstLine="0" w:firstLineChars="0"/>
    </w:pPr>
    <w:rPr>
      <w:rFonts w:asciiTheme="minorHAnsi" w:hAnsiTheme="minorHAnsi" w:eastAsiaTheme="minorEastAsia"/>
      <w:sz w:val="21"/>
    </w:rPr>
  </w:style>
  <w:style w:type="paragraph" w:styleId="24">
    <w:name w:val="toc 6"/>
    <w:basedOn w:val="1"/>
    <w:next w:val="1"/>
    <w:unhideWhenUsed/>
    <w:qFormat/>
    <w:uiPriority w:val="39"/>
    <w:pPr>
      <w:spacing w:line="240" w:lineRule="auto"/>
      <w:ind w:left="2100" w:leftChars="1000" w:firstLine="0" w:firstLineChars="0"/>
    </w:pPr>
    <w:rPr>
      <w:rFonts w:asciiTheme="minorHAnsi" w:hAnsiTheme="minorHAnsi" w:eastAsiaTheme="minorEastAsia"/>
      <w:sz w:val="21"/>
    </w:rPr>
  </w:style>
  <w:style w:type="paragraph" w:styleId="25">
    <w:name w:val="toc 2"/>
    <w:basedOn w:val="1"/>
    <w:next w:val="1"/>
    <w:unhideWhenUsed/>
    <w:qFormat/>
    <w:uiPriority w:val="39"/>
    <w:pPr>
      <w:ind w:left="420" w:leftChars="200"/>
    </w:pPr>
  </w:style>
  <w:style w:type="paragraph" w:styleId="26">
    <w:name w:val="toc 9"/>
    <w:basedOn w:val="1"/>
    <w:next w:val="1"/>
    <w:unhideWhenUsed/>
    <w:qFormat/>
    <w:uiPriority w:val="39"/>
    <w:pPr>
      <w:spacing w:line="240" w:lineRule="auto"/>
      <w:ind w:left="3360" w:leftChars="1600" w:firstLine="0" w:firstLineChars="0"/>
    </w:pPr>
    <w:rPr>
      <w:rFonts w:asciiTheme="minorHAnsi" w:hAnsiTheme="minorHAnsi" w:eastAsiaTheme="minorEastAsia"/>
      <w:sz w:val="21"/>
    </w:rPr>
  </w:style>
  <w:style w:type="paragraph" w:styleId="2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28">
    <w:name w:val="annotation subject"/>
    <w:basedOn w:val="13"/>
    <w:next w:val="13"/>
    <w:link w:val="61"/>
    <w:semiHidden/>
    <w:unhideWhenUsed/>
    <w:qFormat/>
    <w:uiPriority w:val="99"/>
    <w:rPr>
      <w:b/>
      <w:bCs/>
    </w:rPr>
  </w:style>
  <w:style w:type="character" w:styleId="31">
    <w:name w:val="Emphasis"/>
    <w:basedOn w:val="30"/>
    <w:qFormat/>
    <w:uiPriority w:val="20"/>
    <w:rPr>
      <w:i/>
      <w:iCs/>
    </w:rPr>
  </w:style>
  <w:style w:type="character" w:styleId="32">
    <w:name w:val="Hyperlink"/>
    <w:basedOn w:val="30"/>
    <w:unhideWhenUsed/>
    <w:qFormat/>
    <w:uiPriority w:val="99"/>
    <w:rPr>
      <w:color w:val="0563C1" w:themeColor="hyperlink"/>
      <w:u w:val="single"/>
      <w14:textFill>
        <w14:solidFill>
          <w14:schemeClr w14:val="hlink"/>
        </w14:solidFill>
      </w14:textFill>
    </w:rPr>
  </w:style>
  <w:style w:type="character" w:styleId="33">
    <w:name w:val="annotation reference"/>
    <w:basedOn w:val="30"/>
    <w:semiHidden/>
    <w:unhideWhenUsed/>
    <w:qFormat/>
    <w:uiPriority w:val="99"/>
    <w:rPr>
      <w:sz w:val="21"/>
      <w:szCs w:val="21"/>
    </w:rPr>
  </w:style>
  <w:style w:type="paragraph" w:customStyle="1" w:styleId="34">
    <w:name w:val="正文（缩进）"/>
    <w:basedOn w:val="1"/>
    <w:qFormat/>
    <w:uiPriority w:val="0"/>
    <w:pPr>
      <w:spacing w:before="156" w:after="156"/>
      <w:ind w:firstLine="480" w:firstLineChars="200"/>
    </w:pPr>
  </w:style>
  <w:style w:type="character" w:customStyle="1" w:styleId="35">
    <w:name w:val="标题 1 Char"/>
    <w:basedOn w:val="30"/>
    <w:link w:val="2"/>
    <w:qFormat/>
    <w:uiPriority w:val="9"/>
    <w:rPr>
      <w:rFonts w:ascii="Times New Roman" w:hAnsi="Times New Roman" w:eastAsia="宋体"/>
      <w:b/>
      <w:bCs/>
      <w:kern w:val="44"/>
      <w:sz w:val="44"/>
      <w:szCs w:val="44"/>
    </w:rPr>
  </w:style>
  <w:style w:type="character" w:customStyle="1" w:styleId="36">
    <w:name w:val="标题 2 Char"/>
    <w:basedOn w:val="30"/>
    <w:link w:val="3"/>
    <w:qFormat/>
    <w:uiPriority w:val="0"/>
    <w:rPr>
      <w:rFonts w:ascii="Times New Roman" w:hAnsi="Times New Roman" w:eastAsia="宋体" w:cstheme="majorBidi"/>
      <w:b/>
      <w:bCs/>
      <w:sz w:val="36"/>
      <w:szCs w:val="32"/>
    </w:rPr>
  </w:style>
  <w:style w:type="character" w:customStyle="1" w:styleId="37">
    <w:name w:val="标题 3 Char"/>
    <w:basedOn w:val="30"/>
    <w:link w:val="4"/>
    <w:qFormat/>
    <w:uiPriority w:val="9"/>
    <w:rPr>
      <w:rFonts w:ascii="Times New Roman" w:hAnsi="Times New Roman" w:eastAsia="宋体"/>
      <w:b/>
      <w:bCs/>
      <w:sz w:val="30"/>
      <w:szCs w:val="32"/>
    </w:rPr>
  </w:style>
  <w:style w:type="character" w:customStyle="1" w:styleId="38">
    <w:name w:val="标题 4 Char"/>
    <w:basedOn w:val="30"/>
    <w:link w:val="5"/>
    <w:qFormat/>
    <w:uiPriority w:val="9"/>
    <w:rPr>
      <w:rFonts w:eastAsia="宋体" w:asciiTheme="majorHAnsi" w:hAnsiTheme="majorHAnsi" w:cstheme="majorBidi"/>
      <w:b/>
      <w:bCs/>
      <w:sz w:val="28"/>
      <w:szCs w:val="28"/>
    </w:rPr>
  </w:style>
  <w:style w:type="character" w:customStyle="1" w:styleId="39">
    <w:name w:val="标题 5 Char"/>
    <w:basedOn w:val="30"/>
    <w:link w:val="6"/>
    <w:qFormat/>
    <w:uiPriority w:val="9"/>
    <w:rPr>
      <w:rFonts w:ascii="Times New Roman" w:hAnsi="Times New Roman" w:eastAsia="宋体"/>
      <w:b/>
      <w:bCs/>
      <w:sz w:val="28"/>
      <w:szCs w:val="28"/>
    </w:rPr>
  </w:style>
  <w:style w:type="character" w:customStyle="1" w:styleId="40">
    <w:name w:val="标题 6 Char"/>
    <w:basedOn w:val="30"/>
    <w:link w:val="7"/>
    <w:qFormat/>
    <w:uiPriority w:val="9"/>
    <w:rPr>
      <w:rFonts w:eastAsia="宋体" w:asciiTheme="majorHAnsi" w:hAnsiTheme="majorHAnsi" w:cstheme="majorBidi"/>
      <w:b/>
      <w:bCs/>
      <w:sz w:val="24"/>
      <w:szCs w:val="24"/>
    </w:rPr>
  </w:style>
  <w:style w:type="character" w:customStyle="1" w:styleId="41">
    <w:name w:val="标题 7 Char"/>
    <w:basedOn w:val="30"/>
    <w:link w:val="8"/>
    <w:qFormat/>
    <w:uiPriority w:val="9"/>
    <w:rPr>
      <w:rFonts w:ascii="Times New Roman" w:hAnsi="Times New Roman" w:eastAsia="宋体"/>
      <w:b/>
      <w:bCs/>
      <w:sz w:val="24"/>
      <w:szCs w:val="24"/>
    </w:rPr>
  </w:style>
  <w:style w:type="character" w:customStyle="1" w:styleId="42">
    <w:name w:val="标题 8 Char"/>
    <w:basedOn w:val="30"/>
    <w:link w:val="9"/>
    <w:semiHidden/>
    <w:qFormat/>
    <w:uiPriority w:val="9"/>
    <w:rPr>
      <w:rFonts w:asciiTheme="majorHAnsi" w:hAnsiTheme="majorHAnsi" w:eastAsiaTheme="majorEastAsia" w:cstheme="majorBidi"/>
      <w:sz w:val="24"/>
      <w:szCs w:val="24"/>
    </w:rPr>
  </w:style>
  <w:style w:type="character" w:customStyle="1" w:styleId="43">
    <w:name w:val="标题 9 Char"/>
    <w:basedOn w:val="30"/>
    <w:link w:val="10"/>
    <w:semiHidden/>
    <w:qFormat/>
    <w:uiPriority w:val="9"/>
    <w:rPr>
      <w:rFonts w:asciiTheme="majorHAnsi" w:hAnsiTheme="majorHAnsi" w:eastAsiaTheme="majorEastAsia" w:cstheme="majorBidi"/>
      <w:sz w:val="24"/>
      <w:szCs w:val="21"/>
    </w:rPr>
  </w:style>
  <w:style w:type="character" w:customStyle="1" w:styleId="44">
    <w:name w:val="页眉 Char"/>
    <w:basedOn w:val="30"/>
    <w:link w:val="21"/>
    <w:qFormat/>
    <w:uiPriority w:val="99"/>
    <w:rPr>
      <w:sz w:val="18"/>
      <w:szCs w:val="18"/>
    </w:rPr>
  </w:style>
  <w:style w:type="character" w:customStyle="1" w:styleId="45">
    <w:name w:val="页脚 Char"/>
    <w:basedOn w:val="30"/>
    <w:link w:val="20"/>
    <w:qFormat/>
    <w:uiPriority w:val="99"/>
    <w:rPr>
      <w:sz w:val="18"/>
      <w:szCs w:val="18"/>
    </w:rPr>
  </w:style>
  <w:style w:type="paragraph" w:styleId="46">
    <w:name w:val="List Paragraph"/>
    <w:basedOn w:val="1"/>
    <w:link w:val="47"/>
    <w:qFormat/>
    <w:uiPriority w:val="0"/>
    <w:pPr>
      <w:ind w:firstLine="420"/>
    </w:pPr>
  </w:style>
  <w:style w:type="character" w:customStyle="1" w:styleId="47">
    <w:name w:val="列出段落 Char"/>
    <w:link w:val="46"/>
    <w:qFormat/>
    <w:uiPriority w:val="0"/>
    <w:rPr>
      <w:rFonts w:ascii="Times New Roman" w:hAnsi="Times New Roman" w:eastAsia="宋体"/>
      <w:sz w:val="24"/>
    </w:rPr>
  </w:style>
  <w:style w:type="paragraph" w:customStyle="1" w:styleId="48">
    <w:name w:val="TOC 标题1"/>
    <w:basedOn w:val="2"/>
    <w:next w:val="1"/>
    <w:unhideWhenUsed/>
    <w:qFormat/>
    <w:uiPriority w:val="39"/>
    <w:pPr>
      <w:widowControl/>
      <w:numPr>
        <w:numId w:val="0"/>
      </w:numPr>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9">
    <w:name w:val="Char17 Char Char Char Char Char Char"/>
    <w:basedOn w:val="1"/>
    <w:qFormat/>
    <w:uiPriority w:val="0"/>
    <w:pPr>
      <w:widowControl/>
      <w:tabs>
        <w:tab w:val="left" w:pos="425"/>
      </w:tabs>
      <w:spacing w:line="240" w:lineRule="auto"/>
      <w:ind w:left="425" w:hanging="425" w:firstLineChars="0"/>
      <w:jc w:val="left"/>
    </w:pPr>
    <w:rPr>
      <w:rFonts w:ascii="宋体" w:hAnsi="宋体" w:cs="宋体"/>
      <w:kern w:val="0"/>
      <w:szCs w:val="24"/>
    </w:rPr>
  </w:style>
  <w:style w:type="character" w:customStyle="1" w:styleId="50">
    <w:name w:val="批注框文本 Char"/>
    <w:basedOn w:val="30"/>
    <w:link w:val="19"/>
    <w:semiHidden/>
    <w:qFormat/>
    <w:uiPriority w:val="99"/>
    <w:rPr>
      <w:rFonts w:eastAsia="宋体"/>
      <w:sz w:val="18"/>
      <w:szCs w:val="18"/>
    </w:rPr>
  </w:style>
  <w:style w:type="character" w:customStyle="1" w:styleId="51">
    <w:name w:val="日期 Char"/>
    <w:basedOn w:val="30"/>
    <w:link w:val="18"/>
    <w:semiHidden/>
    <w:qFormat/>
    <w:uiPriority w:val="99"/>
    <w:rPr>
      <w:rFonts w:eastAsia="宋体"/>
      <w:sz w:val="24"/>
    </w:rPr>
  </w:style>
  <w:style w:type="paragraph" w:customStyle="1" w:styleId="52">
    <w:name w:val="*正文"/>
    <w:basedOn w:val="1"/>
    <w:link w:val="53"/>
    <w:qFormat/>
    <w:uiPriority w:val="0"/>
    <w:pPr>
      <w:spacing w:beforeLines="50" w:afterLines="50"/>
      <w:ind w:firstLine="480"/>
    </w:pPr>
    <w:rPr>
      <w:rFonts w:ascii="宋体" w:hAnsi="宋体" w:cs="仿宋_GB2312"/>
      <w:szCs w:val="24"/>
    </w:rPr>
  </w:style>
  <w:style w:type="character" w:customStyle="1" w:styleId="53">
    <w:name w:val="*正文 Char"/>
    <w:link w:val="52"/>
    <w:qFormat/>
    <w:uiPriority w:val="0"/>
    <w:rPr>
      <w:rFonts w:ascii="宋体" w:hAnsi="宋体" w:eastAsia="宋体" w:cs="仿宋_GB2312"/>
      <w:sz w:val="24"/>
      <w:szCs w:val="24"/>
    </w:rPr>
  </w:style>
  <w:style w:type="paragraph" w:customStyle="1" w:styleId="54">
    <w:name w:val="标准正文"/>
    <w:basedOn w:val="1"/>
    <w:link w:val="55"/>
    <w:qFormat/>
    <w:uiPriority w:val="0"/>
    <w:pPr>
      <w:spacing w:before="156" w:beforeLines="50" w:after="156" w:afterLines="50"/>
      <w:ind w:firstLine="480"/>
    </w:pPr>
    <w:rPr>
      <w:rFonts w:cs="宋体"/>
      <w:szCs w:val="20"/>
    </w:rPr>
  </w:style>
  <w:style w:type="character" w:customStyle="1" w:styleId="55">
    <w:name w:val="标准正文 Char"/>
    <w:link w:val="54"/>
    <w:qFormat/>
    <w:uiPriority w:val="0"/>
    <w:rPr>
      <w:rFonts w:ascii="Times New Roman" w:hAnsi="Times New Roman" w:eastAsia="宋体" w:cs="宋体"/>
      <w:sz w:val="24"/>
      <w:szCs w:val="20"/>
    </w:rPr>
  </w:style>
  <w:style w:type="paragraph" w:customStyle="1" w:styleId="56">
    <w:name w:val="A.正文"/>
    <w:basedOn w:val="1"/>
    <w:link w:val="57"/>
    <w:qFormat/>
    <w:uiPriority w:val="0"/>
    <w:pPr>
      <w:spacing w:before="480" w:beforeLines="50" w:afterLines="50"/>
      <w:ind w:firstLine="0" w:firstLineChars="0"/>
      <w:jc w:val="left"/>
    </w:pPr>
    <w:rPr>
      <w:rFonts w:ascii="宋体" w:hAnsi="宋体" w:cs="宋体"/>
      <w:color w:val="000000"/>
      <w:spacing w:val="30"/>
      <w:kern w:val="0"/>
      <w:szCs w:val="28"/>
      <w:lang w:val="zh-CN" w:bidi="zh-CN"/>
    </w:rPr>
  </w:style>
  <w:style w:type="character" w:customStyle="1" w:styleId="57">
    <w:name w:val="A.正文 Char"/>
    <w:basedOn w:val="30"/>
    <w:link w:val="56"/>
    <w:qFormat/>
    <w:uiPriority w:val="0"/>
    <w:rPr>
      <w:rFonts w:ascii="宋体" w:hAnsi="宋体" w:eastAsia="宋体" w:cs="宋体"/>
      <w:color w:val="000000"/>
      <w:spacing w:val="30"/>
      <w:kern w:val="0"/>
      <w:sz w:val="24"/>
      <w:szCs w:val="28"/>
      <w:lang w:val="zh-CN" w:bidi="zh-CN"/>
    </w:rPr>
  </w:style>
  <w:style w:type="paragraph" w:styleId="58">
    <w:name w:val="No Spacing"/>
    <w:qFormat/>
    <w:uiPriority w:val="1"/>
    <w:pPr>
      <w:widowControl w:val="0"/>
      <w:jc w:val="both"/>
    </w:pPr>
    <w:rPr>
      <w:rFonts w:asciiTheme="minorHAnsi" w:hAnsiTheme="minorHAnsi" w:eastAsiaTheme="minorEastAsia" w:cstheme="minorBidi"/>
      <w:kern w:val="2"/>
      <w:sz w:val="24"/>
      <w:szCs w:val="22"/>
      <w:lang w:val="en-US" w:eastAsia="zh-CN" w:bidi="ar-SA"/>
    </w:rPr>
  </w:style>
  <w:style w:type="paragraph" w:customStyle="1" w:styleId="59">
    <w:name w:val="2图片样式"/>
    <w:qFormat/>
    <w:uiPriority w:val="0"/>
    <w:pPr>
      <w:jc w:val="center"/>
    </w:pPr>
    <w:rPr>
      <w:rFonts w:ascii="Calibri" w:hAnsi="Calibri" w:eastAsia="仿宋" w:cs="仿宋_GB2312"/>
      <w:b/>
      <w:kern w:val="2"/>
      <w:sz w:val="24"/>
      <w:szCs w:val="28"/>
      <w:lang w:val="en-US" w:eastAsia="zh-CN" w:bidi="ar-SA"/>
    </w:rPr>
  </w:style>
  <w:style w:type="character" w:customStyle="1" w:styleId="60">
    <w:name w:val="批注文字 Char"/>
    <w:basedOn w:val="30"/>
    <w:link w:val="13"/>
    <w:semiHidden/>
    <w:qFormat/>
    <w:uiPriority w:val="99"/>
    <w:rPr>
      <w:rFonts w:ascii="Times New Roman" w:hAnsi="Times New Roman" w:eastAsia="宋体"/>
      <w:kern w:val="2"/>
      <w:sz w:val="24"/>
      <w:szCs w:val="22"/>
    </w:rPr>
  </w:style>
  <w:style w:type="character" w:customStyle="1" w:styleId="61">
    <w:name w:val="批注主题 Char"/>
    <w:basedOn w:val="60"/>
    <w:link w:val="28"/>
    <w:semiHidden/>
    <w:qFormat/>
    <w:uiPriority w:val="99"/>
    <w:rPr>
      <w:rFonts w:ascii="Times New Roman" w:hAnsi="Times New Roman" w:eastAsia="宋体"/>
      <w:b/>
      <w:bCs/>
      <w:kern w:val="2"/>
      <w:sz w:val="24"/>
      <w:szCs w:val="22"/>
    </w:rPr>
  </w:style>
  <w:style w:type="character" w:customStyle="1" w:styleId="62">
    <w:name w:val="font01"/>
    <w:basedOn w:val="30"/>
    <w:qFormat/>
    <w:uiPriority w:val="0"/>
    <w:rPr>
      <w:rFonts w:hint="eastAsia" w:ascii="宋体" w:hAnsi="宋体" w:eastAsia="宋体" w:cs="宋体"/>
      <w:color w:val="000000"/>
      <w:sz w:val="22"/>
      <w:szCs w:val="22"/>
      <w:u w:val="none"/>
    </w:rPr>
  </w:style>
  <w:style w:type="character" w:customStyle="1" w:styleId="63">
    <w:name w:val="font41"/>
    <w:basedOn w:val="30"/>
    <w:qFormat/>
    <w:uiPriority w:val="0"/>
    <w:rPr>
      <w:rFonts w:hint="eastAsia" w:ascii="宋体" w:hAnsi="宋体" w:eastAsia="宋体" w:cs="宋体"/>
      <w:color w:val="000000"/>
      <w:sz w:val="18"/>
      <w:szCs w:val="18"/>
      <w:u w:val="none"/>
    </w:rPr>
  </w:style>
  <w:style w:type="character" w:customStyle="1" w:styleId="64">
    <w:name w:val="font31"/>
    <w:basedOn w:val="30"/>
    <w:qFormat/>
    <w:uiPriority w:val="0"/>
    <w:rPr>
      <w:rFonts w:hint="eastAsia" w:ascii="宋体" w:hAnsi="宋体" w:eastAsia="宋体" w:cs="宋体"/>
      <w:color w:val="000000"/>
      <w:sz w:val="18"/>
      <w:szCs w:val="18"/>
      <w:u w:val="none"/>
    </w:rPr>
  </w:style>
  <w:style w:type="paragraph" w:customStyle="1" w:styleId="65">
    <w:name w:val="列出段落1"/>
    <w:basedOn w:val="1"/>
    <w:qFormat/>
    <w:uiPriority w:val="0"/>
    <w:pPr>
      <w:ind w:firstLine="420"/>
    </w:pPr>
    <w:rPr>
      <w:rFonts w:ascii="等线" w:hAnsi="等线" w:eastAsia="等线" w:cs="Times New Roman"/>
      <w:szCs w:val="22"/>
    </w:rPr>
  </w:style>
  <w:style w:type="paragraph" w:customStyle="1" w:styleId="66">
    <w:name w:val="正文SONG"/>
    <w:basedOn w:val="1"/>
    <w:qFormat/>
    <w:uiPriority w:val="0"/>
    <w:pPr>
      <w:ind w:firstLine="210" w:firstLineChars="210"/>
    </w:pPr>
    <w:rPr>
      <w:rFonts w:hint="eastAsia" w:ascii="仿宋_GB2312" w:hAnsi="宋体" w:eastAsia="仿宋_GB2312" w:cs="Times New Roman"/>
      <w:sz w:val="30"/>
      <w:szCs w:val="30"/>
    </w:rPr>
  </w:style>
  <w:style w:type="paragraph" w:customStyle="1" w:styleId="67">
    <w:name w:val="正文首缩两字"/>
    <w:basedOn w:val="1"/>
    <w:qFormat/>
    <w:uiPriority w:val="0"/>
    <w:rPr>
      <w:rFonts w:ascii="Verdana" w:hAnsi="Verdana"/>
      <w:szCs w:val="24"/>
    </w:rPr>
  </w:style>
  <w:style w:type="character" w:customStyle="1" w:styleId="68">
    <w:name w:val="font11"/>
    <w:basedOn w:val="30"/>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2" Type="http://schemas.openxmlformats.org/officeDocument/2006/relationships/fontTable" Target="fontTable.xml"/><Relationship Id="rId91" Type="http://schemas.openxmlformats.org/officeDocument/2006/relationships/customXml" Target="../customXml/item2.xml"/><Relationship Id="rId90" Type="http://schemas.openxmlformats.org/officeDocument/2006/relationships/numbering" Target="numbering.xml"/><Relationship Id="rId9" Type="http://schemas.openxmlformats.org/officeDocument/2006/relationships/footer" Target="footer2.xml"/><Relationship Id="rId89" Type="http://schemas.openxmlformats.org/officeDocument/2006/relationships/customXml" Target="../customXml/item1.xml"/><Relationship Id="rId88" Type="http://schemas.openxmlformats.org/officeDocument/2006/relationships/image" Target="media/image73.jpeg"/><Relationship Id="rId87" Type="http://schemas.openxmlformats.org/officeDocument/2006/relationships/image" Target="media/image72.jpeg"/><Relationship Id="rId86" Type="http://schemas.openxmlformats.org/officeDocument/2006/relationships/image" Target="media/image71.png"/><Relationship Id="rId85" Type="http://schemas.openxmlformats.org/officeDocument/2006/relationships/image" Target="media/image70.png"/><Relationship Id="rId84" Type="http://schemas.openxmlformats.org/officeDocument/2006/relationships/image" Target="media/image69.jpeg"/><Relationship Id="rId83" Type="http://schemas.openxmlformats.org/officeDocument/2006/relationships/image" Target="media/image68.png"/><Relationship Id="rId82" Type="http://schemas.openxmlformats.org/officeDocument/2006/relationships/image" Target="media/image67.jpeg"/><Relationship Id="rId81" Type="http://schemas.openxmlformats.org/officeDocument/2006/relationships/image" Target="media/image66.png"/><Relationship Id="rId80" Type="http://schemas.openxmlformats.org/officeDocument/2006/relationships/image" Target="media/image65.jpeg"/><Relationship Id="rId8" Type="http://schemas.openxmlformats.org/officeDocument/2006/relationships/footer" Target="footer1.xml"/><Relationship Id="rId79" Type="http://schemas.openxmlformats.org/officeDocument/2006/relationships/image" Target="media/image64.jpeg"/><Relationship Id="rId78" Type="http://schemas.openxmlformats.org/officeDocument/2006/relationships/image" Target="media/image63.jpeg"/><Relationship Id="rId77" Type="http://schemas.openxmlformats.org/officeDocument/2006/relationships/image" Target="media/image62.jpeg"/><Relationship Id="rId76" Type="http://schemas.openxmlformats.org/officeDocument/2006/relationships/image" Target="media/image61.jpeg"/><Relationship Id="rId75" Type="http://schemas.openxmlformats.org/officeDocument/2006/relationships/image" Target="media/image60.jpeg"/><Relationship Id="rId74" Type="http://schemas.openxmlformats.org/officeDocument/2006/relationships/image" Target="media/image59.jpeg"/><Relationship Id="rId73" Type="http://schemas.openxmlformats.org/officeDocument/2006/relationships/image" Target="media/image58.jpeg"/><Relationship Id="rId72" Type="http://schemas.openxmlformats.org/officeDocument/2006/relationships/image" Target="media/image57.jpeg"/><Relationship Id="rId71" Type="http://schemas.openxmlformats.org/officeDocument/2006/relationships/image" Target="media/image56.jpeg"/><Relationship Id="rId70" Type="http://schemas.openxmlformats.org/officeDocument/2006/relationships/image" Target="media/image55.jpeg"/><Relationship Id="rId7" Type="http://schemas.openxmlformats.org/officeDocument/2006/relationships/header" Target="header3.xml"/><Relationship Id="rId69" Type="http://schemas.openxmlformats.org/officeDocument/2006/relationships/image" Target="media/image54.jpeg"/><Relationship Id="rId68" Type="http://schemas.openxmlformats.org/officeDocument/2006/relationships/image" Target="media/image53.jpeg"/><Relationship Id="rId67" Type="http://schemas.openxmlformats.org/officeDocument/2006/relationships/image" Target="media/image52.jpeg"/><Relationship Id="rId66" Type="http://schemas.openxmlformats.org/officeDocument/2006/relationships/image" Target="media/image51.jpeg"/><Relationship Id="rId65" Type="http://schemas.openxmlformats.org/officeDocument/2006/relationships/image" Target="media/image50.jpeg"/><Relationship Id="rId64" Type="http://schemas.openxmlformats.org/officeDocument/2006/relationships/image" Target="media/image49.jpeg"/><Relationship Id="rId63" Type="http://schemas.openxmlformats.org/officeDocument/2006/relationships/image" Target="media/image48.jpeg"/><Relationship Id="rId62" Type="http://schemas.openxmlformats.org/officeDocument/2006/relationships/image" Target="media/image47.png"/><Relationship Id="rId61" Type="http://schemas.openxmlformats.org/officeDocument/2006/relationships/image" Target="media/image46.png"/><Relationship Id="rId60" Type="http://schemas.openxmlformats.org/officeDocument/2006/relationships/image" Target="media/image45.jpeg"/><Relationship Id="rId6" Type="http://schemas.openxmlformats.org/officeDocument/2006/relationships/header" Target="header2.xml"/><Relationship Id="rId59" Type="http://schemas.openxmlformats.org/officeDocument/2006/relationships/image" Target="media/image44.png"/><Relationship Id="rId58" Type="http://schemas.openxmlformats.org/officeDocument/2006/relationships/image" Target="media/image43.png"/><Relationship Id="rId57" Type="http://schemas.openxmlformats.org/officeDocument/2006/relationships/image" Target="media/image42.jpeg"/><Relationship Id="rId56" Type="http://schemas.openxmlformats.org/officeDocument/2006/relationships/image" Target="media/image41.jpeg"/><Relationship Id="rId55" Type="http://schemas.openxmlformats.org/officeDocument/2006/relationships/image" Target="../../../../../admin/AppData/Roaming/Tencent/Users/279509028/QQ/WinTemp/RichOle/84~XF8TB83R%2525252525252525252525252525252525252525252525252525252525252525252525252560IKHJ30D)T(D.jpg" TargetMode="External"/><Relationship Id="rId54" Type="http://schemas.openxmlformats.org/officeDocument/2006/relationships/image" Target="media/image40.jpeg"/><Relationship Id="rId53" Type="http://schemas.openxmlformats.org/officeDocument/2006/relationships/image" Target="media/image39.jpeg"/><Relationship Id="rId52" Type="http://schemas.openxmlformats.org/officeDocument/2006/relationships/image" Target="media/image38.png"/><Relationship Id="rId51" Type="http://schemas.openxmlformats.org/officeDocument/2006/relationships/image" Target="media/image37.jpeg"/><Relationship Id="rId50" Type="http://schemas.openxmlformats.org/officeDocument/2006/relationships/image" Target="media/image36.png"/><Relationship Id="rId5" Type="http://schemas.openxmlformats.org/officeDocument/2006/relationships/header" Target="header1.xml"/><Relationship Id="rId49" Type="http://schemas.openxmlformats.org/officeDocument/2006/relationships/image" Target="media/image35.png"/><Relationship Id="rId48" Type="http://schemas.openxmlformats.org/officeDocument/2006/relationships/image" Target="media/image34.png"/><Relationship Id="rId47" Type="http://schemas.openxmlformats.org/officeDocument/2006/relationships/image" Target="media/image33.png"/><Relationship Id="rId46" Type="http://schemas.openxmlformats.org/officeDocument/2006/relationships/image" Target="media/image32.jpeg"/><Relationship Id="rId45" Type="http://schemas.openxmlformats.org/officeDocument/2006/relationships/image" Target="media/image31.png"/><Relationship Id="rId44" Type="http://schemas.openxmlformats.org/officeDocument/2006/relationships/image" Target="media/image30.png"/><Relationship Id="rId43" Type="http://schemas.openxmlformats.org/officeDocument/2006/relationships/image" Target="media/image29.png"/><Relationship Id="rId42" Type="http://schemas.openxmlformats.org/officeDocument/2006/relationships/image" Target="media/image28.png"/><Relationship Id="rId41" Type="http://schemas.openxmlformats.org/officeDocument/2006/relationships/image" Target="media/image27.png"/><Relationship Id="rId40" Type="http://schemas.openxmlformats.org/officeDocument/2006/relationships/image" Target="media/image26.png"/><Relationship Id="rId4" Type="http://schemas.openxmlformats.org/officeDocument/2006/relationships/endnotes" Target="endnotes.xml"/><Relationship Id="rId39" Type="http://schemas.openxmlformats.org/officeDocument/2006/relationships/image" Target="media/image25.png"/><Relationship Id="rId38" Type="http://schemas.openxmlformats.org/officeDocument/2006/relationships/image" Target="media/image24.jpeg"/><Relationship Id="rId37" Type="http://schemas.openxmlformats.org/officeDocument/2006/relationships/image" Target="media/image23.png"/><Relationship Id="rId36" Type="http://schemas.openxmlformats.org/officeDocument/2006/relationships/image" Target="media/image22.jpeg"/><Relationship Id="rId35" Type="http://schemas.openxmlformats.org/officeDocument/2006/relationships/image" Target="media/image21.png"/><Relationship Id="rId34" Type="http://schemas.openxmlformats.org/officeDocument/2006/relationships/image" Target="media/image20.png"/><Relationship Id="rId33" Type="http://schemas.openxmlformats.org/officeDocument/2006/relationships/image" Target="media/image19.jpeg"/><Relationship Id="rId32" Type="http://schemas.openxmlformats.org/officeDocument/2006/relationships/image" Target="media/image18.png"/><Relationship Id="rId31" Type="http://schemas.openxmlformats.org/officeDocument/2006/relationships/image" Target="media/image17.png"/><Relationship Id="rId30" Type="http://schemas.openxmlformats.org/officeDocument/2006/relationships/image" Target="media/image16.png"/><Relationship Id="rId3" Type="http://schemas.openxmlformats.org/officeDocument/2006/relationships/footnotes" Target="footnotes.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jpeg"/><Relationship Id="rId20" Type="http://schemas.openxmlformats.org/officeDocument/2006/relationships/image" Target="media/image6.jpe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CCB4A5-63EC-4215-A188-86E664FC6856}">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128</Pages>
  <Words>39150</Words>
  <Characters>43705</Characters>
  <Lines>420</Lines>
  <Paragraphs>118</Paragraphs>
  <TotalTime>0</TotalTime>
  <ScaleCrop>false</ScaleCrop>
  <LinksUpToDate>false</LinksUpToDate>
  <CharactersWithSpaces>44808</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2022-05-30T06:24:00Z</dcterms:created>
  <dc:creator>PC</dc:creator>
  <cp:lastModifiedBy>asd</cp:lastModifiedBy>
  <cp:lastPrinted>2023-11-23T07:32:00Z</cp:lastPrinted>
  <dcterms:modified xsi:type="dcterms:W3CDTF">2023-11-23T08:04:54Z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A839A42E63A743128EB08267289BDF40</vt:lpwstr>
  </property>
</Properties>
</file>