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020"/>
        <w:jc w:val="center"/>
        <w:rPr>
          <w:rFonts w:ascii="仿宋" w:hAnsi="仿宋" w:eastAsia="仿宋" w:cs="仿宋"/>
          <w:b/>
          <w:bCs/>
          <w:snapToGrid w:val="0"/>
          <w:color w:val="000000"/>
          <w:spacing w:val="-6"/>
          <w:kern w:val="0"/>
          <w:sz w:val="52"/>
          <w:szCs w:val="52"/>
          <w:lang w:bidi="zh-CN"/>
        </w:rPr>
      </w:pPr>
      <w:r>
        <w:rPr>
          <w:rFonts w:hint="eastAsia" w:ascii="仿宋" w:hAnsi="仿宋" w:eastAsia="仿宋" w:cs="仿宋"/>
          <w:b/>
          <w:bCs/>
          <w:snapToGrid w:val="0"/>
          <w:color w:val="000000"/>
          <w:spacing w:val="-6"/>
          <w:kern w:val="0"/>
          <w:sz w:val="52"/>
          <w:szCs w:val="52"/>
          <w:lang w:bidi="zh-CN"/>
        </w:rPr>
        <w:t>教师电子档案系统及教师发展中心网络资源平台报价表</w:t>
      </w:r>
    </w:p>
    <w:tbl>
      <w:tblPr>
        <w:tblStyle w:val="29"/>
        <w:tblW w:w="57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713"/>
        <w:gridCol w:w="874"/>
        <w:gridCol w:w="6554"/>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tcPr>
          <w:p>
            <w:pPr>
              <w:pStyle w:val="66"/>
              <w:rPr>
                <w:b/>
                <w:bCs/>
                <w:sz w:val="18"/>
                <w:szCs w:val="20"/>
              </w:rPr>
            </w:pPr>
            <w:r>
              <w:rPr>
                <w:rFonts w:hint="eastAsia"/>
                <w:b/>
                <w:bCs/>
                <w:sz w:val="18"/>
                <w:szCs w:val="20"/>
              </w:rPr>
              <w:t>序号</w:t>
            </w:r>
          </w:p>
        </w:tc>
        <w:tc>
          <w:tcPr>
            <w:tcW w:w="808" w:type="pct"/>
            <w:gridSpan w:val="2"/>
            <w:vAlign w:val="center"/>
          </w:tcPr>
          <w:p>
            <w:pPr>
              <w:pStyle w:val="66"/>
              <w:rPr>
                <w:b/>
                <w:bCs/>
                <w:sz w:val="18"/>
                <w:szCs w:val="20"/>
              </w:rPr>
            </w:pPr>
            <w:r>
              <w:rPr>
                <w:rFonts w:hint="eastAsia"/>
                <w:b/>
                <w:bCs/>
                <w:sz w:val="18"/>
                <w:szCs w:val="20"/>
              </w:rPr>
              <w:t>基本功能模块</w:t>
            </w:r>
          </w:p>
        </w:tc>
        <w:tc>
          <w:tcPr>
            <w:tcW w:w="3336" w:type="pct"/>
            <w:vAlign w:val="center"/>
          </w:tcPr>
          <w:p>
            <w:pPr>
              <w:pStyle w:val="66"/>
              <w:rPr>
                <w:b/>
                <w:bCs/>
                <w:sz w:val="18"/>
                <w:szCs w:val="20"/>
              </w:rPr>
            </w:pPr>
            <w:r>
              <w:rPr>
                <w:rFonts w:hint="eastAsia"/>
                <w:b/>
                <w:bCs/>
                <w:sz w:val="18"/>
                <w:szCs w:val="20"/>
              </w:rPr>
              <w:t>要求</w:t>
            </w:r>
          </w:p>
        </w:tc>
        <w:tc>
          <w:tcPr>
            <w:tcW w:w="630" w:type="pct"/>
            <w:vAlign w:val="center"/>
          </w:tcPr>
          <w:p>
            <w:pPr>
              <w:pStyle w:val="66"/>
              <w:rPr>
                <w:b/>
                <w:bCs/>
                <w:sz w:val="18"/>
                <w:szCs w:val="20"/>
              </w:rPr>
            </w:pPr>
            <w:r>
              <w:rPr>
                <w:rFonts w:hint="eastAsia"/>
                <w:b/>
                <w:bCs/>
                <w:sz w:val="18"/>
                <w:szCs w:val="20"/>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restart"/>
            <w:vAlign w:val="center"/>
          </w:tcPr>
          <w:p>
            <w:pPr>
              <w:pStyle w:val="66"/>
              <w:rPr>
                <w:sz w:val="18"/>
                <w:szCs w:val="20"/>
              </w:rPr>
            </w:pPr>
            <w:r>
              <w:rPr>
                <w:rFonts w:hint="eastAsia"/>
                <w:sz w:val="18"/>
                <w:szCs w:val="20"/>
              </w:rPr>
              <w:t>1</w:t>
            </w:r>
          </w:p>
        </w:tc>
        <w:tc>
          <w:tcPr>
            <w:tcW w:w="363" w:type="pct"/>
            <w:vMerge w:val="restart"/>
            <w:vAlign w:val="center"/>
          </w:tcPr>
          <w:p>
            <w:pPr>
              <w:pStyle w:val="66"/>
              <w:rPr>
                <w:rFonts w:asciiTheme="minorEastAsia" w:hAnsiTheme="minorEastAsia" w:eastAsiaTheme="minorEastAsia"/>
                <w:sz w:val="18"/>
                <w:szCs w:val="20"/>
              </w:rPr>
            </w:pPr>
            <w:r>
              <w:rPr>
                <w:rFonts w:hint="eastAsia" w:cs="仿宋" w:asciiTheme="minorEastAsia" w:hAnsiTheme="minorEastAsia" w:eastAsiaTheme="minorEastAsia"/>
                <w:snapToGrid w:val="0"/>
                <w:color w:val="000000"/>
                <w:spacing w:val="-6"/>
                <w:kern w:val="0"/>
                <w:sz w:val="18"/>
                <w:szCs w:val="18"/>
                <w:lang w:bidi="zh-CN"/>
              </w:rPr>
              <w:t>教师电子档案系统</w:t>
            </w:r>
          </w:p>
        </w:tc>
        <w:tc>
          <w:tcPr>
            <w:tcW w:w="445" w:type="pct"/>
            <w:vAlign w:val="center"/>
          </w:tcPr>
          <w:p>
            <w:pPr>
              <w:pStyle w:val="66"/>
              <w:rPr>
                <w:sz w:val="18"/>
                <w:szCs w:val="20"/>
              </w:rPr>
            </w:pPr>
            <w:r>
              <w:rPr>
                <w:rFonts w:hint="eastAsia"/>
                <w:sz w:val="18"/>
                <w:szCs w:val="20"/>
              </w:rPr>
              <w:t>性能要求</w:t>
            </w:r>
          </w:p>
        </w:tc>
        <w:tc>
          <w:tcPr>
            <w:tcW w:w="3336" w:type="pct"/>
            <w:vAlign w:val="center"/>
          </w:tcPr>
          <w:p>
            <w:pPr>
              <w:pStyle w:val="66"/>
              <w:jc w:val="left"/>
              <w:rPr>
                <w:sz w:val="18"/>
                <w:szCs w:val="20"/>
              </w:rPr>
            </w:pPr>
            <w:r>
              <w:rPr>
                <w:rFonts w:hint="eastAsia"/>
                <w:sz w:val="18"/>
                <w:szCs w:val="20"/>
              </w:rPr>
              <w:t>1、要求系统运行稳定，在软件功能抽查测试过程中未发现数据丢失、系统紊乱和致命死机现象，并可以连续无故障运行2小时以上。提供第三方检测机构出具的测评报告中关键页复印件并加盖原厂公章证明以上要求的真实性。</w:t>
            </w:r>
          </w:p>
        </w:tc>
        <w:tc>
          <w:tcPr>
            <w:tcW w:w="630" w:type="pct"/>
            <w:vMerge w:val="restart"/>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整体要求</w:t>
            </w:r>
          </w:p>
        </w:tc>
        <w:tc>
          <w:tcPr>
            <w:tcW w:w="3336" w:type="pct"/>
            <w:vAlign w:val="center"/>
          </w:tcPr>
          <w:p>
            <w:pPr>
              <w:pStyle w:val="66"/>
              <w:jc w:val="left"/>
              <w:rPr>
                <w:sz w:val="18"/>
                <w:szCs w:val="20"/>
              </w:rPr>
            </w:pPr>
            <w:r>
              <w:rPr>
                <w:rFonts w:hint="eastAsia"/>
                <w:sz w:val="18"/>
                <w:szCs w:val="20"/>
              </w:rPr>
              <w:t>让用户实现教师发展历史记录，形成发展轨迹档案。</w:t>
            </w:r>
          </w:p>
          <w:p>
            <w:pPr>
              <w:pStyle w:val="66"/>
              <w:jc w:val="left"/>
              <w:rPr>
                <w:sz w:val="18"/>
                <w:szCs w:val="20"/>
              </w:rPr>
            </w:pPr>
            <w:r>
              <w:rPr>
                <w:rFonts w:hint="eastAsia"/>
                <w:sz w:val="18"/>
                <w:szCs w:val="20"/>
              </w:rPr>
              <w:t>系统需支持自定义高级查询条件，查询字段可自定义多种查询方式，满足学校人事信息管理需求。</w:t>
            </w:r>
          </w:p>
          <w:p>
            <w:pPr>
              <w:pStyle w:val="66"/>
              <w:jc w:val="left"/>
              <w:rPr>
                <w:sz w:val="18"/>
                <w:szCs w:val="20"/>
              </w:rPr>
            </w:pPr>
            <w:r>
              <w:rPr>
                <w:rFonts w:hint="eastAsia"/>
                <w:sz w:val="18"/>
                <w:szCs w:val="20"/>
              </w:rPr>
              <w:t>人员信息库可建立多套信息管理（查询）库；如：在职在编人员信息库、离校人员信息库、返聘人员信息库、非事业编制人员信息库等。</w:t>
            </w:r>
          </w:p>
          <w:p>
            <w:pPr>
              <w:pStyle w:val="66"/>
              <w:jc w:val="left"/>
              <w:rPr>
                <w:sz w:val="18"/>
                <w:szCs w:val="20"/>
              </w:rPr>
            </w:pPr>
            <w:r>
              <w:rPr>
                <w:rFonts w:hint="eastAsia"/>
                <w:sz w:val="18"/>
                <w:szCs w:val="20"/>
              </w:rPr>
              <w:t>人员信息数据管理添加部门管理员角色权限，部门信息数据可下放部门管理员进行数据管理。</w:t>
            </w:r>
          </w:p>
          <w:p>
            <w:pPr>
              <w:pStyle w:val="66"/>
              <w:jc w:val="left"/>
              <w:rPr>
                <w:sz w:val="18"/>
                <w:szCs w:val="20"/>
              </w:rPr>
            </w:pPr>
            <w:r>
              <w:rPr>
                <w:rFonts w:hint="eastAsia"/>
                <w:sz w:val="18"/>
                <w:szCs w:val="20"/>
              </w:rPr>
              <w:t>让用户实现教师个人档案一表式自动生成与导出。人事基本信息管理：实现人事基本信息管理，可以将不同的信息项分配给不同的人员进行管理和维护（例如师资科管理出国进修、培训的信息），教职工扩展信息包括但不限于：工作经历，学习经历，家庭成员，政治面貌、任职资格、培训进修、奖惩信息等信息。普通教职工登录人事个人综合服务平台，可以对自己相关的业务数据进行查询和维护。</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电子档案管理</w:t>
            </w:r>
          </w:p>
        </w:tc>
        <w:tc>
          <w:tcPr>
            <w:tcW w:w="3336" w:type="pct"/>
            <w:vAlign w:val="center"/>
          </w:tcPr>
          <w:p>
            <w:pPr>
              <w:pStyle w:val="66"/>
              <w:jc w:val="left"/>
              <w:rPr>
                <w:sz w:val="18"/>
                <w:szCs w:val="20"/>
              </w:rPr>
            </w:pPr>
            <w:r>
              <w:rPr>
                <w:rFonts w:hint="eastAsia"/>
                <w:sz w:val="18"/>
                <w:szCs w:val="20"/>
              </w:rPr>
              <w:t>通过电子档案管理，让用户实现对全校所有教职工信息管理和查询，形成教工档案一览表。</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科研信息</w:t>
            </w:r>
          </w:p>
        </w:tc>
        <w:tc>
          <w:tcPr>
            <w:tcW w:w="3336" w:type="pct"/>
            <w:vAlign w:val="center"/>
          </w:tcPr>
          <w:p>
            <w:pPr>
              <w:pStyle w:val="66"/>
              <w:jc w:val="left"/>
              <w:rPr>
                <w:sz w:val="18"/>
                <w:szCs w:val="20"/>
              </w:rPr>
            </w:pPr>
            <w:r>
              <w:rPr>
                <w:rFonts w:hint="eastAsia"/>
                <w:sz w:val="18"/>
                <w:szCs w:val="20"/>
              </w:rPr>
              <w:t>包括论文著作管理、科研项目管理。系统支持科研数据从科研系统同步的功能。</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任职资格信息</w:t>
            </w:r>
          </w:p>
        </w:tc>
        <w:tc>
          <w:tcPr>
            <w:tcW w:w="3336" w:type="pct"/>
            <w:vAlign w:val="center"/>
          </w:tcPr>
          <w:p>
            <w:pPr>
              <w:pStyle w:val="66"/>
              <w:jc w:val="left"/>
              <w:rPr>
                <w:sz w:val="18"/>
                <w:szCs w:val="20"/>
              </w:rPr>
            </w:pPr>
            <w:r>
              <w:rPr>
                <w:rFonts w:hint="eastAsia"/>
                <w:sz w:val="18"/>
                <w:szCs w:val="20"/>
              </w:rPr>
              <w:t>系统支持对全校所有教职工的任职资格信息进行维护与管理，支持对任职资格信息进行新增、删除、导入、导出操作。其中任职资格信息包括：教师资格证书信息、教师资格证管理、专业技术职务信息、双师信息管理、工人技术等级信息等。</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奖惩信息</w:t>
            </w:r>
          </w:p>
        </w:tc>
        <w:tc>
          <w:tcPr>
            <w:tcW w:w="3336" w:type="pct"/>
            <w:vAlign w:val="center"/>
          </w:tcPr>
          <w:p>
            <w:pPr>
              <w:pStyle w:val="66"/>
              <w:jc w:val="left"/>
              <w:rPr>
                <w:sz w:val="18"/>
                <w:szCs w:val="20"/>
              </w:rPr>
            </w:pPr>
            <w:r>
              <w:rPr>
                <w:rFonts w:hint="eastAsia"/>
                <w:sz w:val="18"/>
                <w:szCs w:val="20"/>
              </w:rPr>
              <w:t>系统支持全校所有教职工的荣誉奖励和惩处信息的管理。支持撤销惩处信息登记功能。</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培训进修管理</w:t>
            </w:r>
          </w:p>
        </w:tc>
        <w:tc>
          <w:tcPr>
            <w:tcW w:w="3336" w:type="pct"/>
            <w:vAlign w:val="center"/>
          </w:tcPr>
          <w:p>
            <w:pPr>
              <w:pStyle w:val="66"/>
              <w:jc w:val="left"/>
              <w:rPr>
                <w:sz w:val="18"/>
                <w:szCs w:val="20"/>
              </w:rPr>
            </w:pPr>
            <w:r>
              <w:rPr>
                <w:rFonts w:hint="eastAsia"/>
                <w:sz w:val="18"/>
                <w:szCs w:val="20"/>
              </w:rPr>
              <w:t>实现培训进修管理服务，包括国内进修信息管理、出国（境）进修信息管理、岗前培训管理、教职工培训管理和社会实践信息等信息管理。</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师资信息管理</w:t>
            </w:r>
          </w:p>
        </w:tc>
        <w:tc>
          <w:tcPr>
            <w:tcW w:w="3336" w:type="pct"/>
            <w:vAlign w:val="center"/>
          </w:tcPr>
          <w:p>
            <w:pPr>
              <w:pStyle w:val="66"/>
              <w:jc w:val="left"/>
              <w:rPr>
                <w:sz w:val="18"/>
                <w:szCs w:val="20"/>
              </w:rPr>
            </w:pPr>
            <w:r>
              <w:rPr>
                <w:rFonts w:hint="eastAsia"/>
                <w:sz w:val="18"/>
                <w:szCs w:val="20"/>
              </w:rPr>
              <w:t>实现师资信息管理服务，包括重点人才培养管理、荣誉称号、社会实践、企业兼职信息管理、学术兼职信息管理、社会兼职信息管理、班主任信息管理、导师信息管理等信息管理。</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教职工人员分类管理</w:t>
            </w:r>
          </w:p>
        </w:tc>
        <w:tc>
          <w:tcPr>
            <w:tcW w:w="3336" w:type="pct"/>
            <w:vAlign w:val="center"/>
          </w:tcPr>
          <w:p>
            <w:pPr>
              <w:pStyle w:val="66"/>
              <w:jc w:val="left"/>
              <w:rPr>
                <w:sz w:val="18"/>
                <w:szCs w:val="20"/>
              </w:rPr>
            </w:pPr>
            <w:r>
              <w:rPr>
                <w:rFonts w:hint="eastAsia"/>
                <w:sz w:val="18"/>
                <w:szCs w:val="20"/>
              </w:rPr>
              <w:t>通过教职工人员分类管理服务，使系统实现根据不同的教职工人员类型，进行教职工分类管理。包括：干部人员信息管理、高层次人员信息管理、博士后人员信息管理、临时人员信息管理、离退休人员信息、兼职兼课人员等信息管理。</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高级人才信息管理</w:t>
            </w:r>
          </w:p>
        </w:tc>
        <w:tc>
          <w:tcPr>
            <w:tcW w:w="3336" w:type="pct"/>
            <w:vAlign w:val="center"/>
          </w:tcPr>
          <w:p>
            <w:pPr>
              <w:pStyle w:val="66"/>
              <w:jc w:val="left"/>
              <w:rPr>
                <w:sz w:val="18"/>
                <w:szCs w:val="20"/>
              </w:rPr>
            </w:pPr>
            <w:r>
              <w:rPr>
                <w:rFonts w:hint="eastAsia"/>
                <w:sz w:val="18"/>
                <w:szCs w:val="20"/>
              </w:rPr>
              <w:t>实现高级人才信息管理服务，使用户对学校高级人才的详细信息进行管理，包括专家职工号、姓名、出生日期、所在具体部门、技术职务、职称级别、岗位等级、批准单位、批准单位级别信息、批准时间、享受待遇等。</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博士后管理</w:t>
            </w:r>
          </w:p>
        </w:tc>
        <w:tc>
          <w:tcPr>
            <w:tcW w:w="3336" w:type="pct"/>
            <w:vAlign w:val="center"/>
          </w:tcPr>
          <w:p>
            <w:pPr>
              <w:pStyle w:val="66"/>
              <w:jc w:val="left"/>
              <w:rPr>
                <w:sz w:val="18"/>
                <w:szCs w:val="20"/>
              </w:rPr>
            </w:pPr>
            <w:r>
              <w:rPr>
                <w:rFonts w:hint="eastAsia"/>
                <w:sz w:val="18"/>
                <w:szCs w:val="20"/>
              </w:rPr>
              <w:t>系统应支持博士后的进站、出站以及工作站点进行管理，具体包括博士后进站页面信息的维护、博士后的信息进行管理、博士后进站消息提醒、博士后信息查询、流动站点的管理。</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临时人员管理</w:t>
            </w:r>
          </w:p>
        </w:tc>
        <w:tc>
          <w:tcPr>
            <w:tcW w:w="3336" w:type="pct"/>
            <w:vAlign w:val="center"/>
          </w:tcPr>
          <w:p>
            <w:pPr>
              <w:pStyle w:val="66"/>
              <w:jc w:val="left"/>
              <w:rPr>
                <w:sz w:val="18"/>
                <w:szCs w:val="20"/>
              </w:rPr>
            </w:pPr>
            <w:r>
              <w:rPr>
                <w:rFonts w:hint="eastAsia"/>
                <w:sz w:val="18"/>
                <w:szCs w:val="20"/>
              </w:rPr>
              <w:t>实现临时人员管理服务，使用户能够对部门或院系临时教职工人员信息进行信息管理，部门或院系可上报本部门下的临时人员信息，提交给人事处进行统一管理和数据审核。临时人员信息包括临时职工号、姓名、出生日期、身份证号、户籍所在地、学历、学位、单位、进入本单位时间、职务、评定时间、工种、手机号、合同签订时间等。实现灵活自定义信息字段扩展功能。</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外聘教师管理</w:t>
            </w:r>
          </w:p>
        </w:tc>
        <w:tc>
          <w:tcPr>
            <w:tcW w:w="3336" w:type="pct"/>
            <w:vAlign w:val="center"/>
          </w:tcPr>
          <w:p>
            <w:pPr>
              <w:pStyle w:val="66"/>
              <w:jc w:val="left"/>
              <w:rPr>
                <w:sz w:val="18"/>
                <w:szCs w:val="20"/>
              </w:rPr>
            </w:pPr>
            <w:r>
              <w:rPr>
                <w:rFonts w:hint="eastAsia"/>
                <w:sz w:val="18"/>
                <w:szCs w:val="20"/>
              </w:rPr>
              <w:t>通过外聘教师管理服务，实现外聘教师信息的管理，包括职工号、姓名、出生日期、身份证号、学历、学位、职称等。</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头像（照片）管理</w:t>
            </w:r>
          </w:p>
        </w:tc>
        <w:tc>
          <w:tcPr>
            <w:tcW w:w="3336" w:type="pct"/>
            <w:vAlign w:val="center"/>
          </w:tcPr>
          <w:p>
            <w:pPr>
              <w:pStyle w:val="66"/>
              <w:jc w:val="left"/>
              <w:rPr>
                <w:sz w:val="18"/>
                <w:szCs w:val="20"/>
              </w:rPr>
            </w:pPr>
            <w:r>
              <w:rPr>
                <w:rFonts w:hint="eastAsia"/>
                <w:sz w:val="18"/>
                <w:szCs w:val="20"/>
              </w:rPr>
              <w:t>对全校所有教职工头像（照片）进行管理。系统提供批量导入、导出教职工头像（照片）信息。</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花名册管理</w:t>
            </w:r>
          </w:p>
        </w:tc>
        <w:tc>
          <w:tcPr>
            <w:tcW w:w="3336" w:type="pct"/>
            <w:vAlign w:val="center"/>
          </w:tcPr>
          <w:p>
            <w:pPr>
              <w:pStyle w:val="66"/>
              <w:jc w:val="left"/>
              <w:rPr>
                <w:sz w:val="18"/>
                <w:szCs w:val="20"/>
              </w:rPr>
            </w:pPr>
            <w:r>
              <w:rPr>
                <w:rFonts w:hint="eastAsia"/>
                <w:sz w:val="18"/>
                <w:szCs w:val="20"/>
              </w:rPr>
              <w:t>系统支持灵活设置常用人员花名册，管理员可自定义查询方案（自定义查询条件、查询信息、显示字段），然后保存查询方案和花名册。当管理员想一键调出之前的查询方案和人员名单，可以一键调出管理员自定义保存好的人员名册，花名册可以导出excel文件和打印。</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信息查询</w:t>
            </w:r>
          </w:p>
        </w:tc>
        <w:tc>
          <w:tcPr>
            <w:tcW w:w="3336" w:type="pct"/>
            <w:vAlign w:val="center"/>
          </w:tcPr>
          <w:p>
            <w:pPr>
              <w:pStyle w:val="66"/>
              <w:jc w:val="left"/>
              <w:rPr>
                <w:sz w:val="18"/>
                <w:szCs w:val="20"/>
              </w:rPr>
            </w:pPr>
            <w:r>
              <w:rPr>
                <w:rFonts w:hint="eastAsia"/>
                <w:sz w:val="18"/>
                <w:szCs w:val="20"/>
              </w:rPr>
              <w:t>实现教职工信息查询服务，使用户能够将教职工人员信息管理和信息查询分开管理。可针对不同业务场景和角色，授予对应的管理和查询的权限。满足不同场景下学校信息管理需求。</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信息快照</w:t>
            </w:r>
          </w:p>
        </w:tc>
        <w:tc>
          <w:tcPr>
            <w:tcW w:w="3336" w:type="pct"/>
            <w:vAlign w:val="center"/>
          </w:tcPr>
          <w:p>
            <w:pPr>
              <w:pStyle w:val="66"/>
              <w:jc w:val="left"/>
              <w:rPr>
                <w:sz w:val="18"/>
                <w:szCs w:val="20"/>
              </w:rPr>
            </w:pPr>
            <w:r>
              <w:rPr>
                <w:rFonts w:hint="eastAsia"/>
                <w:sz w:val="18"/>
                <w:szCs w:val="20"/>
              </w:rPr>
              <w:t>实现信息归档服务，使管理人员根据业务管理需求，实现对全校教职工信息进行数据定期归档，形成全校教职工某一时刻的教职工档案信息，方便后期数据查询和数据分析。</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自定义扩展</w:t>
            </w:r>
          </w:p>
        </w:tc>
        <w:tc>
          <w:tcPr>
            <w:tcW w:w="3336" w:type="pct"/>
            <w:vAlign w:val="center"/>
          </w:tcPr>
          <w:p>
            <w:pPr>
              <w:pStyle w:val="66"/>
              <w:jc w:val="left"/>
              <w:rPr>
                <w:sz w:val="18"/>
                <w:szCs w:val="20"/>
              </w:rPr>
            </w:pPr>
            <w:r>
              <w:rPr>
                <w:rFonts w:hint="eastAsia"/>
                <w:sz w:val="18"/>
                <w:szCs w:val="20"/>
              </w:rPr>
              <w:t>用户可根据学校业务对教职工档案信息进行自定义扩展功能，满足学校教职工信息管理需求。</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全国教师系统对接服务</w:t>
            </w:r>
          </w:p>
        </w:tc>
        <w:tc>
          <w:tcPr>
            <w:tcW w:w="3336" w:type="pct"/>
            <w:vAlign w:val="center"/>
          </w:tcPr>
          <w:p>
            <w:pPr>
              <w:pStyle w:val="66"/>
              <w:jc w:val="left"/>
              <w:rPr>
                <w:sz w:val="18"/>
                <w:szCs w:val="20"/>
              </w:rPr>
            </w:pPr>
            <w:r>
              <w:rPr>
                <w:rFonts w:hint="eastAsia"/>
                <w:sz w:val="18"/>
                <w:szCs w:val="20"/>
              </w:rPr>
              <w:t>校内版人力资源管理系统能够无缝对接全国教师信息系统，满足日常学校教职工数据的上报以及数据初始化服务。</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restart"/>
            <w:vAlign w:val="center"/>
          </w:tcPr>
          <w:p>
            <w:pPr>
              <w:pStyle w:val="66"/>
              <w:rPr>
                <w:sz w:val="18"/>
                <w:szCs w:val="20"/>
              </w:rPr>
            </w:pPr>
            <w:r>
              <w:rPr>
                <w:rFonts w:hint="eastAsia"/>
                <w:sz w:val="18"/>
                <w:szCs w:val="20"/>
              </w:rPr>
              <w:t>2</w:t>
            </w:r>
          </w:p>
        </w:tc>
        <w:tc>
          <w:tcPr>
            <w:tcW w:w="363" w:type="pct"/>
            <w:vMerge w:val="restart"/>
            <w:vAlign w:val="center"/>
          </w:tcPr>
          <w:p>
            <w:pPr>
              <w:pStyle w:val="66"/>
              <w:rPr>
                <w:sz w:val="18"/>
                <w:szCs w:val="20"/>
              </w:rPr>
            </w:pPr>
            <w:r>
              <w:rPr>
                <w:rFonts w:hint="eastAsia"/>
                <w:sz w:val="18"/>
                <w:szCs w:val="20"/>
              </w:rPr>
              <w:t>统一权限平台</w:t>
            </w:r>
          </w:p>
        </w:tc>
        <w:tc>
          <w:tcPr>
            <w:tcW w:w="445" w:type="pct"/>
            <w:vAlign w:val="center"/>
          </w:tcPr>
          <w:p>
            <w:pPr>
              <w:pStyle w:val="66"/>
              <w:rPr>
                <w:sz w:val="18"/>
                <w:szCs w:val="20"/>
              </w:rPr>
            </w:pPr>
            <w:r>
              <w:rPr>
                <w:rFonts w:hint="eastAsia"/>
                <w:sz w:val="18"/>
                <w:szCs w:val="20"/>
              </w:rPr>
              <w:t>首页</w:t>
            </w:r>
          </w:p>
        </w:tc>
        <w:tc>
          <w:tcPr>
            <w:tcW w:w="3336" w:type="pct"/>
            <w:vAlign w:val="center"/>
          </w:tcPr>
          <w:p>
            <w:pPr>
              <w:pStyle w:val="66"/>
              <w:jc w:val="left"/>
              <w:rPr>
                <w:sz w:val="18"/>
                <w:szCs w:val="20"/>
              </w:rPr>
            </w:pPr>
            <w:r>
              <w:rPr>
                <w:rFonts w:hint="eastAsia"/>
                <w:sz w:val="18"/>
                <w:szCs w:val="20"/>
              </w:rPr>
              <w:t>要求首页展示部门、用户、角色、岗位、用户组总数，并以条状图、饼状图展示部门数据分布情况。</w:t>
            </w:r>
          </w:p>
        </w:tc>
        <w:tc>
          <w:tcPr>
            <w:tcW w:w="630" w:type="pct"/>
            <w:vMerge w:val="restart"/>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基础设置</w:t>
            </w:r>
          </w:p>
        </w:tc>
        <w:tc>
          <w:tcPr>
            <w:tcW w:w="3336" w:type="pct"/>
            <w:vAlign w:val="center"/>
          </w:tcPr>
          <w:p>
            <w:pPr>
              <w:pStyle w:val="66"/>
              <w:jc w:val="left"/>
              <w:rPr>
                <w:sz w:val="18"/>
                <w:szCs w:val="20"/>
              </w:rPr>
            </w:pPr>
            <w:r>
              <w:rPr>
                <w:sz w:val="18"/>
                <w:szCs w:val="20"/>
              </w:rPr>
              <w:t>1</w:t>
            </w:r>
            <w:r>
              <w:rPr>
                <w:rFonts w:hint="eastAsia"/>
                <w:sz w:val="18"/>
                <w:szCs w:val="20"/>
              </w:rPr>
              <w:t>、部门类型管理</w:t>
            </w:r>
          </w:p>
          <w:p>
            <w:pPr>
              <w:pStyle w:val="66"/>
              <w:jc w:val="left"/>
              <w:rPr>
                <w:sz w:val="18"/>
                <w:szCs w:val="20"/>
              </w:rPr>
            </w:pPr>
            <w:r>
              <w:rPr>
                <w:rFonts w:hint="eastAsia"/>
                <w:sz w:val="18"/>
                <w:szCs w:val="20"/>
              </w:rPr>
              <w:t>要求对部门类型进行管理，应支持编号、类型名称、级别三种字段快速查询；对已有的部门类型进行统一管理，增加或者删除操作；应支持修改部门类型信息，手动选择是否启用部门类型。</w:t>
            </w:r>
          </w:p>
          <w:p>
            <w:pPr>
              <w:pStyle w:val="66"/>
              <w:jc w:val="left"/>
              <w:rPr>
                <w:sz w:val="18"/>
                <w:szCs w:val="20"/>
              </w:rPr>
            </w:pPr>
            <w:r>
              <w:rPr>
                <w:sz w:val="18"/>
                <w:szCs w:val="20"/>
              </w:rPr>
              <w:t>2</w:t>
            </w:r>
            <w:r>
              <w:rPr>
                <w:rFonts w:hint="eastAsia"/>
                <w:sz w:val="18"/>
                <w:szCs w:val="20"/>
              </w:rPr>
              <w:t>、用户类型管理</w:t>
            </w:r>
          </w:p>
          <w:p>
            <w:pPr>
              <w:pStyle w:val="66"/>
              <w:jc w:val="left"/>
              <w:rPr>
                <w:sz w:val="18"/>
                <w:szCs w:val="20"/>
              </w:rPr>
            </w:pPr>
            <w:r>
              <w:rPr>
                <w:rFonts w:hint="eastAsia"/>
                <w:sz w:val="18"/>
                <w:szCs w:val="20"/>
              </w:rPr>
              <w:t>应对用户类型进行管理，需支持编号、类型名称、级别三种字段快速查询；对已有的用户类型进行统一管理，增加或者删除操作；应支持修改用户类型信息，手动选择是否启用用户类型。</w:t>
            </w:r>
          </w:p>
          <w:p>
            <w:pPr>
              <w:pStyle w:val="66"/>
              <w:jc w:val="left"/>
              <w:rPr>
                <w:sz w:val="18"/>
                <w:szCs w:val="20"/>
              </w:rPr>
            </w:pPr>
            <w:r>
              <w:rPr>
                <w:sz w:val="18"/>
                <w:szCs w:val="20"/>
              </w:rPr>
              <w:t>3</w:t>
            </w:r>
            <w:r>
              <w:rPr>
                <w:rFonts w:hint="eastAsia"/>
                <w:sz w:val="18"/>
                <w:szCs w:val="20"/>
              </w:rPr>
              <w:t>、机构管理</w:t>
            </w:r>
          </w:p>
          <w:p>
            <w:pPr>
              <w:pStyle w:val="66"/>
              <w:jc w:val="left"/>
              <w:rPr>
                <w:sz w:val="18"/>
                <w:szCs w:val="20"/>
              </w:rPr>
            </w:pPr>
            <w:r>
              <w:rPr>
                <w:rFonts w:hint="eastAsia"/>
                <w:sz w:val="18"/>
                <w:szCs w:val="20"/>
              </w:rPr>
              <w:t>要求对机构进行管理，应支持机构编号、机构名称两种字段进行快速查询；对已有的机构类型进行统一管理，增加或者删除操作；应支持修改机构信息，手动选择是否激活该机构以及手动选择是否为默认状态，对处于默认状态的机构可以选择其授权范围。</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组织架构管理</w:t>
            </w:r>
          </w:p>
        </w:tc>
        <w:tc>
          <w:tcPr>
            <w:tcW w:w="3336" w:type="pct"/>
            <w:vAlign w:val="center"/>
          </w:tcPr>
          <w:p>
            <w:pPr>
              <w:pStyle w:val="66"/>
              <w:jc w:val="left"/>
              <w:rPr>
                <w:sz w:val="18"/>
                <w:szCs w:val="20"/>
              </w:rPr>
            </w:pPr>
            <w:r>
              <w:rPr>
                <w:sz w:val="18"/>
                <w:szCs w:val="20"/>
              </w:rPr>
              <w:t>1</w:t>
            </w:r>
            <w:r>
              <w:rPr>
                <w:rFonts w:hint="eastAsia"/>
                <w:sz w:val="18"/>
                <w:szCs w:val="20"/>
              </w:rPr>
              <w:t>、部门管理</w:t>
            </w:r>
          </w:p>
          <w:p>
            <w:pPr>
              <w:pStyle w:val="66"/>
              <w:jc w:val="left"/>
              <w:rPr>
                <w:sz w:val="18"/>
                <w:szCs w:val="20"/>
              </w:rPr>
            </w:pPr>
            <w:r>
              <w:rPr>
                <w:rFonts w:hint="eastAsia"/>
                <w:sz w:val="18"/>
                <w:szCs w:val="20"/>
              </w:rPr>
              <w:t>要求对部门进行管理，能够对用户的部门信息进行编辑操作，包括且不限于对部门信息进行新增、修改、删除、导入、导出、模糊查询，模糊查询应支持部门编号、名称、类型进行查询，应支持对部门信息的状态、分配用户、分配角色进行编辑，分配用户编辑操作包括且不限于新增、移除、查询、禁/启用。</w:t>
            </w:r>
          </w:p>
          <w:p>
            <w:pPr>
              <w:pStyle w:val="66"/>
              <w:jc w:val="left"/>
              <w:rPr>
                <w:sz w:val="18"/>
                <w:szCs w:val="20"/>
              </w:rPr>
            </w:pPr>
            <w:r>
              <w:rPr>
                <w:sz w:val="18"/>
                <w:szCs w:val="20"/>
              </w:rPr>
              <w:t>2</w:t>
            </w:r>
            <w:r>
              <w:rPr>
                <w:rFonts w:hint="eastAsia"/>
                <w:sz w:val="18"/>
                <w:szCs w:val="20"/>
              </w:rPr>
              <w:t>、用户管理</w:t>
            </w:r>
          </w:p>
          <w:p>
            <w:pPr>
              <w:pStyle w:val="66"/>
              <w:jc w:val="left"/>
              <w:rPr>
                <w:sz w:val="18"/>
                <w:szCs w:val="20"/>
              </w:rPr>
            </w:pPr>
            <w:r>
              <w:rPr>
                <w:rFonts w:hint="eastAsia"/>
                <w:sz w:val="18"/>
                <w:szCs w:val="20"/>
              </w:rPr>
              <w:t>要求对用户进行管理，包括且不限于重置密码、导出、新增、删除、查看修改等，能够支持分配角色、分配用户组、分配用户、修改密码操作；应能够查看用户编号、姓名、昵称、性别、类型、部门、状态、移动电话、邮箱、操作的界面。</w:t>
            </w:r>
          </w:p>
          <w:p>
            <w:pPr>
              <w:pStyle w:val="66"/>
              <w:jc w:val="left"/>
              <w:rPr>
                <w:sz w:val="18"/>
                <w:szCs w:val="20"/>
              </w:rPr>
            </w:pPr>
            <w:r>
              <w:rPr>
                <w:sz w:val="18"/>
                <w:szCs w:val="20"/>
              </w:rPr>
              <w:t>3</w:t>
            </w:r>
            <w:r>
              <w:rPr>
                <w:rFonts w:hint="eastAsia"/>
                <w:sz w:val="18"/>
                <w:szCs w:val="20"/>
              </w:rPr>
              <w:t>、角色管理</w:t>
            </w:r>
          </w:p>
          <w:p>
            <w:pPr>
              <w:pStyle w:val="66"/>
              <w:jc w:val="left"/>
              <w:rPr>
                <w:sz w:val="18"/>
                <w:szCs w:val="20"/>
              </w:rPr>
            </w:pPr>
            <w:r>
              <w:rPr>
                <w:rFonts w:hint="eastAsia"/>
                <w:sz w:val="18"/>
                <w:szCs w:val="20"/>
              </w:rPr>
              <w:t>要求对角色进行管理，能够对编号、名称、角色类型进行查询，应支持对角色信息进行新增、删除、修改、分配权限，并对权限分配用户提供更多操作，包括且不限于分配用户、分配岗位、分配用户组、分配部门，同时对用户分配权限范围内对应用细粒度授权，平台能够精细到功能模块的权限分配。</w:t>
            </w:r>
          </w:p>
          <w:p>
            <w:pPr>
              <w:pStyle w:val="66"/>
              <w:jc w:val="left"/>
              <w:rPr>
                <w:sz w:val="18"/>
                <w:szCs w:val="20"/>
              </w:rPr>
            </w:pPr>
            <w:r>
              <w:rPr>
                <w:sz w:val="18"/>
                <w:szCs w:val="20"/>
              </w:rPr>
              <w:t>4</w:t>
            </w:r>
            <w:r>
              <w:rPr>
                <w:rFonts w:hint="eastAsia"/>
                <w:sz w:val="18"/>
                <w:szCs w:val="20"/>
              </w:rPr>
              <w:t>、岗位管理</w:t>
            </w:r>
          </w:p>
          <w:p>
            <w:pPr>
              <w:pStyle w:val="66"/>
              <w:jc w:val="left"/>
              <w:rPr>
                <w:sz w:val="18"/>
                <w:szCs w:val="20"/>
              </w:rPr>
            </w:pPr>
            <w:r>
              <w:rPr>
                <w:rFonts w:hint="eastAsia"/>
                <w:sz w:val="18"/>
                <w:szCs w:val="20"/>
              </w:rPr>
              <w:t>要求对岗位进行管理，包括对用户岗位进行模糊查询、新增、删除的操作，能够查看岗位名称、岗位编号、备注、所属应用、机构、操作信息，操作信息应支持对岗位信息进行修改、删除、分配用户、分配角色。</w:t>
            </w:r>
          </w:p>
          <w:p>
            <w:pPr>
              <w:pStyle w:val="66"/>
              <w:jc w:val="left"/>
              <w:rPr>
                <w:sz w:val="18"/>
                <w:szCs w:val="20"/>
              </w:rPr>
            </w:pPr>
            <w:r>
              <w:rPr>
                <w:sz w:val="18"/>
                <w:szCs w:val="20"/>
              </w:rPr>
              <w:t>5</w:t>
            </w:r>
            <w:r>
              <w:rPr>
                <w:rFonts w:hint="eastAsia"/>
                <w:sz w:val="18"/>
                <w:szCs w:val="20"/>
              </w:rPr>
              <w:t>、用户组管理</w:t>
            </w:r>
          </w:p>
          <w:p>
            <w:pPr>
              <w:pStyle w:val="66"/>
              <w:jc w:val="left"/>
              <w:rPr>
                <w:sz w:val="18"/>
                <w:szCs w:val="20"/>
              </w:rPr>
            </w:pPr>
            <w:r>
              <w:rPr>
                <w:rFonts w:hint="eastAsia"/>
                <w:sz w:val="18"/>
                <w:szCs w:val="20"/>
              </w:rPr>
              <w:t>要求对用户组进行管理，能够通过用户组名称、所属应用进行查询，应支持对用户组信息进行新增、删除的操作，能够查看用户组名称、编号、所属应用、所属机构、状态、操作信息，操作信息能够对用户组信息进行修改、删除、分配用户、分配角色。</w:t>
            </w:r>
          </w:p>
          <w:p>
            <w:pPr>
              <w:pStyle w:val="66"/>
              <w:jc w:val="left"/>
              <w:rPr>
                <w:sz w:val="18"/>
                <w:szCs w:val="20"/>
              </w:rPr>
            </w:pPr>
            <w:r>
              <w:rPr>
                <w:sz w:val="18"/>
                <w:szCs w:val="20"/>
              </w:rPr>
              <w:t>6</w:t>
            </w:r>
            <w:r>
              <w:rPr>
                <w:rFonts w:hint="eastAsia"/>
                <w:sz w:val="18"/>
                <w:szCs w:val="20"/>
              </w:rPr>
              <w:t>、用户回收站</w:t>
            </w:r>
          </w:p>
          <w:p>
            <w:pPr>
              <w:pStyle w:val="66"/>
              <w:jc w:val="left"/>
              <w:rPr>
                <w:sz w:val="18"/>
                <w:szCs w:val="20"/>
              </w:rPr>
            </w:pPr>
            <w:r>
              <w:rPr>
                <w:rFonts w:hint="eastAsia"/>
                <w:sz w:val="18"/>
                <w:szCs w:val="20"/>
              </w:rPr>
              <w:t>用户回收站模块，能够看到所有已删除的用户信息，对已删除用户组进行恢复、删除等操作。</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权限管理</w:t>
            </w:r>
          </w:p>
        </w:tc>
        <w:tc>
          <w:tcPr>
            <w:tcW w:w="3336" w:type="pct"/>
            <w:vAlign w:val="center"/>
          </w:tcPr>
          <w:p>
            <w:pPr>
              <w:pStyle w:val="66"/>
              <w:jc w:val="left"/>
              <w:rPr>
                <w:sz w:val="18"/>
                <w:szCs w:val="20"/>
              </w:rPr>
            </w:pPr>
            <w:r>
              <w:rPr>
                <w:sz w:val="18"/>
                <w:szCs w:val="20"/>
              </w:rPr>
              <w:t>1</w:t>
            </w:r>
            <w:r>
              <w:rPr>
                <w:rFonts w:hint="eastAsia"/>
                <w:sz w:val="18"/>
                <w:szCs w:val="20"/>
              </w:rPr>
              <w:t>、服务管理</w:t>
            </w:r>
          </w:p>
          <w:p>
            <w:pPr>
              <w:pStyle w:val="66"/>
              <w:jc w:val="left"/>
              <w:rPr>
                <w:sz w:val="18"/>
                <w:szCs w:val="20"/>
              </w:rPr>
            </w:pPr>
            <w:r>
              <w:rPr>
                <w:rFonts w:hint="eastAsia"/>
                <w:sz w:val="18"/>
                <w:szCs w:val="20"/>
              </w:rPr>
              <w:t>要求对服务进行管理，服务管理包括且不限于对应用服务的新增、删除、导入、导出、查询，同时能够编辑服务名称、编号、镜像地址、状态、操作，操作包括且不限于对服务的修改、删除。</w:t>
            </w:r>
          </w:p>
          <w:p>
            <w:pPr>
              <w:pStyle w:val="66"/>
              <w:jc w:val="left"/>
              <w:rPr>
                <w:sz w:val="18"/>
                <w:szCs w:val="20"/>
              </w:rPr>
            </w:pPr>
            <w:r>
              <w:rPr>
                <w:sz w:val="18"/>
                <w:szCs w:val="20"/>
              </w:rPr>
              <w:t>2</w:t>
            </w:r>
            <w:r>
              <w:rPr>
                <w:rFonts w:hint="eastAsia"/>
                <w:sz w:val="18"/>
                <w:szCs w:val="20"/>
              </w:rPr>
              <w:t>、应用管理</w:t>
            </w:r>
          </w:p>
          <w:p>
            <w:pPr>
              <w:pStyle w:val="66"/>
              <w:jc w:val="left"/>
              <w:rPr>
                <w:sz w:val="18"/>
                <w:szCs w:val="20"/>
              </w:rPr>
            </w:pPr>
            <w:r>
              <w:rPr>
                <w:rFonts w:hint="eastAsia"/>
                <w:sz w:val="18"/>
                <w:szCs w:val="20"/>
              </w:rPr>
              <w:t>要求对应用进行管理。包括对应用的新增、删除、导入、导出、编号/名称的查询，需能够在界面展示应用名称、编号、描述、状态、操作，其中操作包括且不限于对应用信息的修改、删除、分配服务、菜单管理，菜单管理能够对应用所属服务，编号、名称、权限类型进行查询，能够对应用的关联关系进行操作，包括且不限于编号、名称、类型的查询、选取。</w:t>
            </w:r>
          </w:p>
          <w:p>
            <w:pPr>
              <w:pStyle w:val="66"/>
              <w:jc w:val="left"/>
              <w:rPr>
                <w:sz w:val="18"/>
                <w:szCs w:val="20"/>
              </w:rPr>
            </w:pPr>
            <w:r>
              <w:rPr>
                <w:sz w:val="18"/>
                <w:szCs w:val="20"/>
              </w:rPr>
              <w:t>3</w:t>
            </w:r>
            <w:r>
              <w:rPr>
                <w:rFonts w:hint="eastAsia"/>
                <w:sz w:val="18"/>
                <w:szCs w:val="20"/>
              </w:rPr>
              <w:t>、权限功能管理</w:t>
            </w:r>
          </w:p>
          <w:p>
            <w:pPr>
              <w:pStyle w:val="66"/>
              <w:jc w:val="left"/>
              <w:rPr>
                <w:sz w:val="18"/>
                <w:szCs w:val="20"/>
              </w:rPr>
            </w:pPr>
            <w:r>
              <w:rPr>
                <w:rFonts w:hint="eastAsia"/>
                <w:sz w:val="18"/>
                <w:szCs w:val="20"/>
              </w:rPr>
              <w:t>要求对权限进行管理。包括且不限于对应用模块的新增、删除、编号/名称/所属服务的查询，同时能够在界面展示模块名称、编号、所属服务、类型、操作，操作包括且不限于对应用模块信息的修改、删除、功能管理，功能管理能够对应用所属服务，编号、名称进行查询，应能够对应用功能模块新增、移除并以界面的形式展现功能名称、编号、操作，操作包括且不限于修改、删除、分配资源。</w:t>
            </w:r>
          </w:p>
          <w:p>
            <w:pPr>
              <w:pStyle w:val="66"/>
              <w:jc w:val="left"/>
              <w:rPr>
                <w:sz w:val="18"/>
                <w:szCs w:val="20"/>
              </w:rPr>
            </w:pPr>
            <w:r>
              <w:rPr>
                <w:sz w:val="18"/>
                <w:szCs w:val="20"/>
              </w:rPr>
              <w:t>4</w:t>
            </w:r>
            <w:r>
              <w:rPr>
                <w:rFonts w:hint="eastAsia"/>
                <w:sz w:val="18"/>
                <w:szCs w:val="20"/>
              </w:rPr>
              <w:t>、资源管理</w:t>
            </w:r>
          </w:p>
          <w:p>
            <w:pPr>
              <w:pStyle w:val="66"/>
              <w:jc w:val="left"/>
              <w:rPr>
                <w:sz w:val="18"/>
                <w:szCs w:val="20"/>
              </w:rPr>
            </w:pPr>
            <w:r>
              <w:rPr>
                <w:rFonts w:hint="eastAsia"/>
                <w:sz w:val="18"/>
                <w:szCs w:val="20"/>
              </w:rPr>
              <w:t>要求对资源进行管理，包括对服务的新增、删除、编号/url/请求类型/状态的查询，能够在界面展示服务编号、请求类型、状态、服务、操作，操作包括且不限于对服务信息的修改、删除、分配权限。</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系统设置</w:t>
            </w:r>
          </w:p>
        </w:tc>
        <w:tc>
          <w:tcPr>
            <w:tcW w:w="3336" w:type="pct"/>
            <w:vAlign w:val="center"/>
          </w:tcPr>
          <w:p>
            <w:pPr>
              <w:pStyle w:val="66"/>
              <w:jc w:val="left"/>
              <w:rPr>
                <w:sz w:val="18"/>
                <w:szCs w:val="20"/>
              </w:rPr>
            </w:pPr>
            <w:r>
              <w:rPr>
                <w:sz w:val="18"/>
                <w:szCs w:val="20"/>
              </w:rPr>
              <w:t>1</w:t>
            </w:r>
            <w:r>
              <w:rPr>
                <w:rFonts w:hint="eastAsia"/>
                <w:sz w:val="18"/>
                <w:szCs w:val="20"/>
              </w:rPr>
              <w:t>、通用设置</w:t>
            </w:r>
          </w:p>
          <w:p>
            <w:pPr>
              <w:pStyle w:val="66"/>
              <w:jc w:val="left"/>
              <w:rPr>
                <w:sz w:val="18"/>
                <w:szCs w:val="20"/>
              </w:rPr>
            </w:pPr>
            <w:r>
              <w:rPr>
                <w:rFonts w:hint="eastAsia"/>
                <w:sz w:val="18"/>
                <w:szCs w:val="20"/>
              </w:rPr>
              <w:t>要求对通用配置进行管理，包括且不限于对配置编号、配置名称、配置值、缓存状态等进行增加、删除、修改、查询操作。</w:t>
            </w:r>
          </w:p>
          <w:p>
            <w:pPr>
              <w:pStyle w:val="66"/>
              <w:jc w:val="left"/>
              <w:rPr>
                <w:sz w:val="18"/>
                <w:szCs w:val="20"/>
              </w:rPr>
            </w:pPr>
            <w:r>
              <w:rPr>
                <w:sz w:val="18"/>
                <w:szCs w:val="20"/>
              </w:rPr>
              <w:t>2</w:t>
            </w:r>
            <w:r>
              <w:rPr>
                <w:rFonts w:hint="eastAsia"/>
                <w:sz w:val="18"/>
                <w:szCs w:val="20"/>
              </w:rPr>
              <w:t>、系统信息配置</w:t>
            </w:r>
          </w:p>
          <w:p>
            <w:pPr>
              <w:pStyle w:val="66"/>
              <w:jc w:val="left"/>
              <w:rPr>
                <w:sz w:val="18"/>
                <w:szCs w:val="20"/>
              </w:rPr>
            </w:pPr>
            <w:r>
              <w:rPr>
                <w:rFonts w:hint="eastAsia"/>
                <w:sz w:val="18"/>
                <w:szCs w:val="20"/>
              </w:rPr>
              <w:t>要求对系统信息配置进行管理，包括且不限于对编号、系统名称、所属机构等信息进行增加、删除、修改、查询操作。</w:t>
            </w:r>
          </w:p>
          <w:p>
            <w:pPr>
              <w:pStyle w:val="66"/>
              <w:jc w:val="left"/>
              <w:rPr>
                <w:sz w:val="18"/>
                <w:szCs w:val="20"/>
              </w:rPr>
            </w:pPr>
            <w:r>
              <w:rPr>
                <w:sz w:val="18"/>
                <w:szCs w:val="20"/>
              </w:rPr>
              <w:t>3</w:t>
            </w:r>
            <w:r>
              <w:rPr>
                <w:rFonts w:hint="eastAsia"/>
                <w:sz w:val="18"/>
                <w:szCs w:val="20"/>
              </w:rPr>
              <w:t>、安全设置</w:t>
            </w:r>
          </w:p>
          <w:p>
            <w:pPr>
              <w:pStyle w:val="66"/>
              <w:jc w:val="left"/>
              <w:rPr>
                <w:sz w:val="18"/>
                <w:szCs w:val="20"/>
              </w:rPr>
            </w:pPr>
            <w:r>
              <w:rPr>
                <w:rFonts w:hint="eastAsia"/>
                <w:sz w:val="18"/>
                <w:szCs w:val="20"/>
              </w:rPr>
              <w:t>要求提供安全设置服务。需支持对登录验证码进行启用，能够对密码容错次数以及密码锁定时间进行具体设置。</w:t>
            </w:r>
          </w:p>
          <w:p>
            <w:pPr>
              <w:pStyle w:val="66"/>
              <w:jc w:val="left"/>
              <w:rPr>
                <w:sz w:val="18"/>
                <w:szCs w:val="20"/>
              </w:rPr>
            </w:pPr>
            <w:r>
              <w:rPr>
                <w:sz w:val="18"/>
                <w:szCs w:val="20"/>
              </w:rPr>
              <w:t>4</w:t>
            </w:r>
            <w:r>
              <w:rPr>
                <w:rFonts w:hint="eastAsia"/>
                <w:sz w:val="18"/>
                <w:szCs w:val="20"/>
              </w:rPr>
              <w:t>、在线用户管理</w:t>
            </w:r>
          </w:p>
          <w:p>
            <w:pPr>
              <w:pStyle w:val="66"/>
              <w:jc w:val="left"/>
              <w:rPr>
                <w:sz w:val="18"/>
                <w:szCs w:val="20"/>
              </w:rPr>
            </w:pPr>
            <w:r>
              <w:rPr>
                <w:rFonts w:hint="eastAsia"/>
                <w:sz w:val="18"/>
                <w:szCs w:val="20"/>
              </w:rPr>
              <w:t>需支持在线用户管理。包括且不限于对在线用户进行清空所有认证权限缓存、清空资源缓存以及支持重置密码重试次数等操作；应支持对在线用户进行踢出操作，保障系统的安全性。</w:t>
            </w:r>
          </w:p>
          <w:p>
            <w:pPr>
              <w:pStyle w:val="66"/>
              <w:jc w:val="left"/>
              <w:rPr>
                <w:sz w:val="18"/>
                <w:szCs w:val="20"/>
              </w:rPr>
            </w:pPr>
            <w:r>
              <w:rPr>
                <w:sz w:val="18"/>
                <w:szCs w:val="20"/>
              </w:rPr>
              <w:t>5</w:t>
            </w:r>
            <w:r>
              <w:rPr>
                <w:rFonts w:hint="eastAsia"/>
                <w:sz w:val="18"/>
                <w:szCs w:val="20"/>
              </w:rPr>
              <w:t>、调度管理</w:t>
            </w:r>
          </w:p>
          <w:p>
            <w:pPr>
              <w:pStyle w:val="66"/>
              <w:jc w:val="left"/>
              <w:rPr>
                <w:sz w:val="18"/>
                <w:szCs w:val="20"/>
              </w:rPr>
            </w:pPr>
            <w:r>
              <w:rPr>
                <w:rFonts w:hint="eastAsia"/>
                <w:sz w:val="18"/>
                <w:szCs w:val="20"/>
              </w:rPr>
              <w:t>应支持调度管理。包括且不限于对任务组、任务名、cron表达式、URL等进行任务添加。</w:t>
            </w:r>
          </w:p>
          <w:p>
            <w:pPr>
              <w:pStyle w:val="66"/>
              <w:jc w:val="left"/>
              <w:rPr>
                <w:sz w:val="18"/>
                <w:szCs w:val="20"/>
              </w:rPr>
            </w:pPr>
            <w:r>
              <w:rPr>
                <w:sz w:val="18"/>
                <w:szCs w:val="20"/>
              </w:rPr>
              <w:t>6</w:t>
            </w:r>
            <w:r>
              <w:rPr>
                <w:rFonts w:hint="eastAsia"/>
                <w:sz w:val="18"/>
                <w:szCs w:val="20"/>
              </w:rPr>
              <w:t>、缓存管理</w:t>
            </w:r>
          </w:p>
          <w:p>
            <w:pPr>
              <w:pStyle w:val="66"/>
              <w:jc w:val="left"/>
              <w:rPr>
                <w:sz w:val="18"/>
                <w:szCs w:val="20"/>
              </w:rPr>
            </w:pPr>
            <w:r>
              <w:rPr>
                <w:rFonts w:hint="eastAsia"/>
                <w:sz w:val="18"/>
                <w:szCs w:val="20"/>
              </w:rPr>
              <w:t>要求提供缓存管理。包括且不限于对不同类似的缓存key进行删除、清空操作。</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日志管理</w:t>
            </w:r>
          </w:p>
        </w:tc>
        <w:tc>
          <w:tcPr>
            <w:tcW w:w="3336" w:type="pct"/>
            <w:vAlign w:val="center"/>
          </w:tcPr>
          <w:p>
            <w:pPr>
              <w:pStyle w:val="66"/>
              <w:jc w:val="left"/>
              <w:rPr>
                <w:sz w:val="18"/>
                <w:szCs w:val="20"/>
              </w:rPr>
            </w:pPr>
            <w:r>
              <w:rPr>
                <w:sz w:val="18"/>
                <w:szCs w:val="20"/>
              </w:rPr>
              <w:t>1</w:t>
            </w:r>
            <w:r>
              <w:rPr>
                <w:rFonts w:hint="eastAsia"/>
                <w:sz w:val="18"/>
                <w:szCs w:val="20"/>
              </w:rPr>
              <w:t>、访问日志</w:t>
            </w:r>
          </w:p>
          <w:p>
            <w:pPr>
              <w:pStyle w:val="66"/>
              <w:jc w:val="left"/>
              <w:rPr>
                <w:sz w:val="18"/>
                <w:szCs w:val="20"/>
              </w:rPr>
            </w:pPr>
            <w:r>
              <w:rPr>
                <w:rFonts w:hint="eastAsia"/>
                <w:sz w:val="18"/>
                <w:szCs w:val="20"/>
              </w:rPr>
              <w:t>要求支持访问日志管理。管理员可对不同访问用户进行数据统计，要求支持对用户、部门、登录时间以及浏览器类型进行查询操作，应支持删除操作。</w:t>
            </w:r>
          </w:p>
          <w:p>
            <w:pPr>
              <w:pStyle w:val="66"/>
              <w:jc w:val="left"/>
              <w:rPr>
                <w:sz w:val="18"/>
                <w:szCs w:val="20"/>
              </w:rPr>
            </w:pPr>
            <w:r>
              <w:rPr>
                <w:sz w:val="18"/>
                <w:szCs w:val="20"/>
              </w:rPr>
              <w:t>2</w:t>
            </w:r>
            <w:r>
              <w:rPr>
                <w:rFonts w:hint="eastAsia"/>
                <w:sz w:val="18"/>
                <w:szCs w:val="20"/>
              </w:rPr>
              <w:t>、操作日志</w:t>
            </w:r>
          </w:p>
          <w:p>
            <w:pPr>
              <w:pStyle w:val="66"/>
              <w:jc w:val="left"/>
              <w:rPr>
                <w:sz w:val="18"/>
                <w:szCs w:val="20"/>
              </w:rPr>
            </w:pPr>
            <w:r>
              <w:rPr>
                <w:rFonts w:hint="eastAsia"/>
                <w:sz w:val="18"/>
                <w:szCs w:val="20"/>
              </w:rPr>
              <w:t>应提供操作日志管理。对操作用户进行查看详情操作。可查看操作用户信息、请求详情以及请求返回结果内容。需支持对用户、用户类型、部门、请求时间进行操作。</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restart"/>
            <w:vAlign w:val="center"/>
          </w:tcPr>
          <w:p>
            <w:pPr>
              <w:pStyle w:val="66"/>
              <w:rPr>
                <w:sz w:val="18"/>
                <w:szCs w:val="20"/>
              </w:rPr>
            </w:pPr>
            <w:r>
              <w:rPr>
                <w:rFonts w:hint="eastAsia"/>
                <w:sz w:val="18"/>
                <w:szCs w:val="20"/>
              </w:rPr>
              <w:t>3</w:t>
            </w:r>
          </w:p>
        </w:tc>
        <w:tc>
          <w:tcPr>
            <w:tcW w:w="363" w:type="pct"/>
            <w:vMerge w:val="restart"/>
            <w:vAlign w:val="center"/>
          </w:tcPr>
          <w:p>
            <w:pPr>
              <w:pStyle w:val="66"/>
              <w:rPr>
                <w:sz w:val="18"/>
                <w:szCs w:val="20"/>
              </w:rPr>
            </w:pPr>
            <w:r>
              <w:rPr>
                <w:rFonts w:hint="eastAsia"/>
                <w:sz w:val="18"/>
                <w:szCs w:val="20"/>
              </w:rPr>
              <w:t>资源管理平台</w:t>
            </w:r>
          </w:p>
        </w:tc>
        <w:tc>
          <w:tcPr>
            <w:tcW w:w="445" w:type="pct"/>
            <w:vAlign w:val="center"/>
          </w:tcPr>
          <w:p>
            <w:pPr>
              <w:pStyle w:val="66"/>
              <w:rPr>
                <w:sz w:val="18"/>
                <w:szCs w:val="20"/>
              </w:rPr>
            </w:pPr>
            <w:r>
              <w:rPr>
                <w:rFonts w:hint="eastAsia"/>
                <w:sz w:val="18"/>
                <w:szCs w:val="20"/>
              </w:rPr>
              <w:t>技术要求</w:t>
            </w:r>
          </w:p>
        </w:tc>
        <w:tc>
          <w:tcPr>
            <w:tcW w:w="3336" w:type="pct"/>
            <w:vAlign w:val="center"/>
          </w:tcPr>
          <w:p>
            <w:pPr>
              <w:pStyle w:val="66"/>
              <w:jc w:val="left"/>
              <w:rPr>
                <w:sz w:val="18"/>
                <w:szCs w:val="20"/>
              </w:rPr>
            </w:pPr>
            <w:r>
              <w:rPr>
                <w:rFonts w:hint="eastAsia"/>
                <w:sz w:val="18"/>
                <w:szCs w:val="20"/>
                <w:lang w:val="en-US" w:eastAsia="zh-CN"/>
              </w:rPr>
              <w:t>1</w:t>
            </w:r>
            <w:r>
              <w:rPr>
                <w:rFonts w:hint="eastAsia"/>
                <w:sz w:val="18"/>
                <w:szCs w:val="20"/>
              </w:rPr>
              <w:t>、需支持用户使用自定义账号登录（邮箱/身份证号/手机号/别名）、短信验证登录、第三方联合（钉钉、微信、企业微信）扫码登录。</w:t>
            </w:r>
          </w:p>
          <w:p>
            <w:pPr>
              <w:pStyle w:val="66"/>
              <w:jc w:val="left"/>
              <w:rPr>
                <w:sz w:val="18"/>
                <w:szCs w:val="20"/>
              </w:rPr>
            </w:pPr>
            <w:r>
              <w:rPr>
                <w:rFonts w:hint="eastAsia"/>
                <w:sz w:val="18"/>
                <w:szCs w:val="20"/>
                <w:lang w:val="en-US" w:eastAsia="zh-CN"/>
              </w:rPr>
              <w:t>2</w:t>
            </w:r>
            <w:r>
              <w:rPr>
                <w:rFonts w:hint="eastAsia"/>
                <w:sz w:val="18"/>
                <w:szCs w:val="20"/>
              </w:rPr>
              <w:t>、权限管理</w:t>
            </w:r>
          </w:p>
          <w:p>
            <w:pPr>
              <w:pStyle w:val="66"/>
              <w:jc w:val="left"/>
              <w:rPr>
                <w:sz w:val="18"/>
                <w:szCs w:val="20"/>
              </w:rPr>
            </w:pPr>
            <w:r>
              <w:rPr>
                <w:rFonts w:hint="eastAsia"/>
                <w:sz w:val="18"/>
                <w:szCs w:val="20"/>
              </w:rPr>
              <w:t>为系统管理员提供管理配置与实时监控系统的有效手段，需支持“按需设岗、按岗授权”管理机制；实现基于角色的安全控制、用户可以通过相关的角色获取相应的使用权限，大大地降低权限管理复杂度，有效地确保系统运行的安全性。</w:t>
            </w:r>
          </w:p>
          <w:p>
            <w:pPr>
              <w:pStyle w:val="66"/>
              <w:jc w:val="left"/>
              <w:rPr>
                <w:sz w:val="18"/>
                <w:szCs w:val="20"/>
              </w:rPr>
            </w:pPr>
            <w:r>
              <w:rPr>
                <w:rFonts w:hint="eastAsia"/>
                <w:sz w:val="18"/>
                <w:szCs w:val="20"/>
              </w:rPr>
              <w:t>满足功能模块授权、数据权限授权、角色创建及授权、用户创建及权限分配。</w:t>
            </w:r>
          </w:p>
          <w:p>
            <w:pPr>
              <w:pStyle w:val="66"/>
              <w:jc w:val="left"/>
              <w:rPr>
                <w:sz w:val="18"/>
                <w:szCs w:val="20"/>
              </w:rPr>
            </w:pPr>
            <w:r>
              <w:rPr>
                <w:rFonts w:hint="eastAsia"/>
                <w:sz w:val="18"/>
                <w:szCs w:val="20"/>
              </w:rPr>
              <w:t>角色权限管理：需支持按角色授权管理方式，角色是组织、部门、岗位、用户、群组之中的一种或者多种组成。</w:t>
            </w:r>
          </w:p>
          <w:p>
            <w:pPr>
              <w:pStyle w:val="66"/>
              <w:jc w:val="left"/>
              <w:rPr>
                <w:sz w:val="18"/>
                <w:szCs w:val="20"/>
              </w:rPr>
            </w:pPr>
            <w:r>
              <w:rPr>
                <w:rFonts w:hint="eastAsia"/>
                <w:sz w:val="18"/>
                <w:szCs w:val="20"/>
              </w:rPr>
              <w:t>系统角色权限：需支持系统级角色维护，如管理员、普通用户，一键授权功能。</w:t>
            </w:r>
          </w:p>
          <w:p>
            <w:pPr>
              <w:pStyle w:val="66"/>
              <w:jc w:val="left"/>
              <w:rPr>
                <w:sz w:val="18"/>
                <w:szCs w:val="20"/>
              </w:rPr>
            </w:pPr>
            <w:r>
              <w:rPr>
                <w:rFonts w:hint="eastAsia"/>
                <w:sz w:val="18"/>
                <w:szCs w:val="20"/>
              </w:rPr>
              <w:t>权限授权范围：导航、门户、组织、功能菜单、操作按钮、主数据、附件（查看、下载、编辑、删除）。</w:t>
            </w:r>
          </w:p>
          <w:p>
            <w:pPr>
              <w:pStyle w:val="66"/>
              <w:jc w:val="left"/>
              <w:rPr>
                <w:sz w:val="18"/>
                <w:szCs w:val="20"/>
              </w:rPr>
            </w:pPr>
            <w:r>
              <w:rPr>
                <w:rFonts w:hint="eastAsia"/>
                <w:sz w:val="18"/>
                <w:szCs w:val="20"/>
                <w:lang w:val="en-US" w:eastAsia="zh-CN"/>
              </w:rPr>
              <w:t>3</w:t>
            </w:r>
            <w:r>
              <w:rPr>
                <w:rFonts w:hint="eastAsia"/>
                <w:sz w:val="18"/>
                <w:szCs w:val="20"/>
              </w:rPr>
              <w:t>、系统应满足GB/T 22239-2019：《信息安全技术网络安全等级保护基本要求》第二级“安全通用要求”中的“安全计算环境（主机安全、数据库安全、应用安全、数据安全）”的测评要求，安全控制点应至少包含身份鉴别、访问控制、安全审计、入侵防范、数据完整性、数据保密性、数据备份恢复、个人信息保护。供应商承诺学校进行等保测评时，如发现问题，需无条件配合整改，直至通过等保测评。</w:t>
            </w:r>
          </w:p>
          <w:p>
            <w:pPr>
              <w:pStyle w:val="66"/>
              <w:jc w:val="left"/>
              <w:rPr>
                <w:sz w:val="18"/>
                <w:szCs w:val="20"/>
              </w:rPr>
            </w:pPr>
            <w:r>
              <w:rPr>
                <w:rFonts w:hint="eastAsia"/>
                <w:sz w:val="18"/>
                <w:szCs w:val="20"/>
                <w:lang w:val="en-US" w:eastAsia="zh-CN"/>
              </w:rPr>
              <w:t>4</w:t>
            </w:r>
            <w:r>
              <w:rPr>
                <w:rFonts w:hint="eastAsia"/>
                <w:sz w:val="18"/>
                <w:szCs w:val="20"/>
              </w:rPr>
              <w:t>、要求系统满足系统管理、账号管理、应用管理等功能性测试。</w:t>
            </w:r>
          </w:p>
          <w:p>
            <w:pPr>
              <w:pStyle w:val="66"/>
              <w:jc w:val="left"/>
              <w:rPr>
                <w:sz w:val="18"/>
                <w:szCs w:val="20"/>
              </w:rPr>
            </w:pPr>
            <w:r>
              <w:rPr>
                <w:rFonts w:hint="eastAsia"/>
                <w:sz w:val="18"/>
                <w:szCs w:val="20"/>
                <w:lang w:val="en-US" w:eastAsia="zh-CN"/>
              </w:rPr>
              <w:t>5</w:t>
            </w:r>
            <w:bookmarkStart w:id="0" w:name="_GoBack"/>
            <w:bookmarkEnd w:id="0"/>
            <w:r>
              <w:rPr>
                <w:rFonts w:hint="eastAsia"/>
                <w:sz w:val="18"/>
                <w:szCs w:val="20"/>
              </w:rPr>
              <w:t>、要求系统需与国产化数据库、国产化操作系统、国产化处理器、国产化云平台进行兼容或联合认证，提供厂商出具的兼容性或联合认证证书复印件并加盖投标人公章。</w:t>
            </w:r>
          </w:p>
        </w:tc>
        <w:tc>
          <w:tcPr>
            <w:tcW w:w="630" w:type="pct"/>
            <w:vMerge w:val="restart"/>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资源门户</w:t>
            </w:r>
          </w:p>
        </w:tc>
        <w:tc>
          <w:tcPr>
            <w:tcW w:w="3336" w:type="pct"/>
            <w:vAlign w:val="center"/>
          </w:tcPr>
          <w:p>
            <w:pPr>
              <w:pStyle w:val="66"/>
              <w:jc w:val="left"/>
              <w:rPr>
                <w:sz w:val="18"/>
                <w:szCs w:val="20"/>
              </w:rPr>
            </w:pPr>
            <w:r>
              <w:rPr>
                <w:rFonts w:hint="eastAsia"/>
                <w:sz w:val="18"/>
                <w:szCs w:val="20"/>
              </w:rPr>
              <w:t>1、门户管理</w:t>
            </w:r>
          </w:p>
          <w:p>
            <w:pPr>
              <w:pStyle w:val="66"/>
              <w:jc w:val="left"/>
              <w:rPr>
                <w:sz w:val="18"/>
                <w:szCs w:val="20"/>
              </w:rPr>
            </w:pPr>
            <w:r>
              <w:rPr>
                <w:rFonts w:hint="eastAsia"/>
                <w:sz w:val="18"/>
                <w:szCs w:val="20"/>
              </w:rPr>
              <w:t>需支持创建多维度不同种类的门户，如领导门户、老师门户、学生门户等，并统一分类、配置与管理。</w:t>
            </w:r>
          </w:p>
          <w:p>
            <w:pPr>
              <w:pStyle w:val="66"/>
              <w:jc w:val="left"/>
              <w:rPr>
                <w:sz w:val="18"/>
                <w:szCs w:val="20"/>
              </w:rPr>
            </w:pPr>
            <w:r>
              <w:rPr>
                <w:rFonts w:hint="eastAsia"/>
                <w:sz w:val="18"/>
                <w:szCs w:val="20"/>
              </w:rPr>
              <w:t>需支持门户分类、门户名称、门户导航、是否启用、LOGO、门户权限、门户页面、门户主题、排序等门户的基本信息维护。（投标时提供该功能软件运行界面截图，可作为该功能点的技术响应程度评分）</w:t>
            </w:r>
          </w:p>
          <w:p>
            <w:pPr>
              <w:pStyle w:val="66"/>
              <w:jc w:val="left"/>
              <w:rPr>
                <w:sz w:val="18"/>
                <w:szCs w:val="20"/>
              </w:rPr>
            </w:pPr>
            <w:r>
              <w:rPr>
                <w:rFonts w:hint="eastAsia"/>
                <w:sz w:val="18"/>
                <w:szCs w:val="20"/>
              </w:rPr>
              <w:t>需支持关联多个门户页面，定义是否移动门户，并能设置门户侧边栏风格，包含无侧边栏、标准版、简易版。</w:t>
            </w:r>
          </w:p>
          <w:p>
            <w:pPr>
              <w:pStyle w:val="66"/>
              <w:jc w:val="left"/>
              <w:rPr>
                <w:sz w:val="18"/>
                <w:szCs w:val="20"/>
              </w:rPr>
            </w:pPr>
            <w:r>
              <w:rPr>
                <w:rFonts w:hint="eastAsia"/>
                <w:sz w:val="18"/>
                <w:szCs w:val="20"/>
              </w:rPr>
              <w:t>2、门户主题</w:t>
            </w:r>
          </w:p>
          <w:p>
            <w:pPr>
              <w:pStyle w:val="66"/>
              <w:jc w:val="left"/>
              <w:rPr>
                <w:sz w:val="18"/>
                <w:szCs w:val="20"/>
              </w:rPr>
            </w:pPr>
            <w:r>
              <w:rPr>
                <w:rFonts w:hint="eastAsia"/>
                <w:sz w:val="18"/>
                <w:szCs w:val="20"/>
              </w:rPr>
              <w:t>需支持自定义门户主题，支持在系统使用的过程中可任意切换主题包，切换过程中不能影响系统使用。</w:t>
            </w:r>
          </w:p>
          <w:p>
            <w:pPr>
              <w:pStyle w:val="66"/>
              <w:jc w:val="left"/>
              <w:rPr>
                <w:sz w:val="18"/>
                <w:szCs w:val="20"/>
              </w:rPr>
            </w:pPr>
            <w:r>
              <w:rPr>
                <w:rFonts w:hint="eastAsia"/>
                <w:sz w:val="18"/>
                <w:szCs w:val="20"/>
              </w:rPr>
              <w:t>3、门户页面</w:t>
            </w:r>
          </w:p>
          <w:p>
            <w:pPr>
              <w:pStyle w:val="66"/>
              <w:jc w:val="left"/>
              <w:rPr>
                <w:sz w:val="18"/>
                <w:szCs w:val="20"/>
              </w:rPr>
            </w:pPr>
            <w:r>
              <w:rPr>
                <w:rFonts w:hint="eastAsia"/>
                <w:sz w:val="18"/>
                <w:szCs w:val="20"/>
              </w:rPr>
              <w:t>需支持页面基本信息配置管理，如页面名称、是否移动页面、页面类型、页面权限、页面图标等内容；支持页面类型管理，有页面、URL页面等；支持以拖拉方式对页面自由布局，无需代码；支持页面组件管理，必须包含：页面布局、多网页组件、网页组件、快捷导航、消息服务、个人信息展示、流程待办、信息列表等组件。（投标时提供该功能软件运行界面截图，可作为该功能点的技术响应程度评分）</w:t>
            </w:r>
          </w:p>
          <w:p>
            <w:pPr>
              <w:pStyle w:val="66"/>
              <w:jc w:val="left"/>
              <w:rPr>
                <w:sz w:val="18"/>
                <w:szCs w:val="20"/>
              </w:rPr>
            </w:pPr>
            <w:r>
              <w:rPr>
                <w:rFonts w:hint="eastAsia"/>
                <w:sz w:val="18"/>
                <w:szCs w:val="20"/>
              </w:rPr>
              <w:t>4、导航管理</w:t>
            </w:r>
          </w:p>
          <w:p>
            <w:pPr>
              <w:pStyle w:val="66"/>
              <w:jc w:val="left"/>
              <w:rPr>
                <w:sz w:val="18"/>
                <w:szCs w:val="20"/>
              </w:rPr>
            </w:pPr>
            <w:r>
              <w:rPr>
                <w:rFonts w:hint="eastAsia"/>
                <w:sz w:val="18"/>
                <w:szCs w:val="20"/>
              </w:rPr>
              <w:t>需支持门户导航树形结构维护，自由拖拉菜单导航。需支持门户导航菜单的类型分级。</w:t>
            </w:r>
          </w:p>
          <w:p>
            <w:pPr>
              <w:pStyle w:val="66"/>
              <w:jc w:val="left"/>
              <w:rPr>
                <w:sz w:val="18"/>
                <w:szCs w:val="20"/>
              </w:rPr>
            </w:pPr>
            <w:r>
              <w:rPr>
                <w:rFonts w:hint="eastAsia"/>
                <w:sz w:val="18"/>
                <w:szCs w:val="20"/>
              </w:rPr>
              <w:t>需支持门户导航菜单添加外部URL、自定义导航菜单图标。（投标时提供该功能软件运行界面截图，可作为该功能点的技术响应程度评分）</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资源类型</w:t>
            </w:r>
          </w:p>
        </w:tc>
        <w:tc>
          <w:tcPr>
            <w:tcW w:w="3336" w:type="pct"/>
            <w:vAlign w:val="center"/>
          </w:tcPr>
          <w:p>
            <w:pPr>
              <w:pStyle w:val="66"/>
              <w:jc w:val="left"/>
              <w:rPr>
                <w:sz w:val="18"/>
                <w:szCs w:val="20"/>
              </w:rPr>
            </w:pPr>
            <w:r>
              <w:rPr>
                <w:rFonts w:hint="eastAsia"/>
                <w:sz w:val="18"/>
                <w:szCs w:val="20"/>
              </w:rPr>
              <w:t>需支持根据学校的需要定义资源类型，例如：管理员可以在资源类型界面自由的新增、修改、删除和查询资源类型；可以通过拖拉拽的方式调整资源的上下级关系；可以设置该资源分类的审核权限和发布权限，权限可按机构、岗位、用户、群组进行授权。</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资源审核</w:t>
            </w:r>
          </w:p>
        </w:tc>
        <w:tc>
          <w:tcPr>
            <w:tcW w:w="3336" w:type="pct"/>
            <w:vAlign w:val="center"/>
          </w:tcPr>
          <w:p>
            <w:pPr>
              <w:pStyle w:val="66"/>
              <w:jc w:val="left"/>
              <w:rPr>
                <w:sz w:val="18"/>
                <w:szCs w:val="20"/>
              </w:rPr>
            </w:pPr>
            <w:r>
              <w:rPr>
                <w:rFonts w:hint="eastAsia"/>
                <w:sz w:val="18"/>
                <w:szCs w:val="20"/>
              </w:rPr>
              <w:t>需支持对应审核用户对资源进行审核，例如：当审核用户具有该分类的资源审核权限时，用户发布该分类的资源，会提交到资源审核菜单下；需支持审核人员查看用户提交资源的内容，包含word、pdf、ppt以及常见的多媒体文件；可以选择通过或者驳回操作。</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资源管理</w:t>
            </w:r>
          </w:p>
        </w:tc>
        <w:tc>
          <w:tcPr>
            <w:tcW w:w="3336" w:type="pct"/>
            <w:vAlign w:val="center"/>
          </w:tcPr>
          <w:p>
            <w:pPr>
              <w:pStyle w:val="66"/>
              <w:jc w:val="left"/>
              <w:rPr>
                <w:sz w:val="18"/>
                <w:szCs w:val="20"/>
              </w:rPr>
            </w:pPr>
            <w:r>
              <w:rPr>
                <w:rFonts w:hint="eastAsia"/>
                <w:sz w:val="18"/>
                <w:szCs w:val="20"/>
              </w:rPr>
              <w:t>需支持系统管理员对资源进行统一的管理，例如：新增资源（可设置：资源类型、资源编号、资源格式、是否推荐、资源名称、授课老师、资源简介、封面图片、主视频、资源文档、资源概述、资源大纲、授课目标、预备知识、常见问题、查看权限、下载权限）、修改资源、删除资源；可对资源进行预览；可查看资源日志；可查看观看日志（内容包含：观看人、观看时间、观看时长、观看进度），并支持按观看时间及关键字进行查询。（投标时提供该功能软件运行界面截图，可作为该功能点的技术响应程度评分）</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我的资源</w:t>
            </w:r>
          </w:p>
        </w:tc>
        <w:tc>
          <w:tcPr>
            <w:tcW w:w="3336" w:type="pct"/>
            <w:vAlign w:val="center"/>
          </w:tcPr>
          <w:p>
            <w:pPr>
              <w:pStyle w:val="66"/>
              <w:jc w:val="left"/>
              <w:rPr>
                <w:sz w:val="18"/>
                <w:szCs w:val="20"/>
              </w:rPr>
            </w:pPr>
            <w:r>
              <w:rPr>
                <w:rFonts w:hint="eastAsia"/>
                <w:sz w:val="18"/>
                <w:szCs w:val="20"/>
              </w:rPr>
              <w:t>需支持用户在当前目录下进行新增、修改、删除资源，包含资源类型、资源编号、资源格式、是否推荐、资源名称、授课老师、资源简介、封面图片、主视频、资源文档、资源概述、资源大纲、授课目标、预备知识、常见问题、查看权限、下载权限。</w:t>
            </w:r>
          </w:p>
          <w:p>
            <w:pPr>
              <w:pStyle w:val="66"/>
              <w:jc w:val="left"/>
              <w:rPr>
                <w:sz w:val="18"/>
                <w:szCs w:val="20"/>
              </w:rPr>
            </w:pPr>
            <w:r>
              <w:rPr>
                <w:rFonts w:hint="eastAsia"/>
                <w:sz w:val="18"/>
                <w:szCs w:val="20"/>
              </w:rPr>
              <w:t>需支持用户查询本人的资源详细信息，包含是否推荐、资源名称、上传时间、审核状态、排序等。</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PC资源首页</w:t>
            </w:r>
          </w:p>
        </w:tc>
        <w:tc>
          <w:tcPr>
            <w:tcW w:w="3336" w:type="pct"/>
            <w:vAlign w:val="center"/>
          </w:tcPr>
          <w:p>
            <w:pPr>
              <w:pStyle w:val="66"/>
              <w:jc w:val="left"/>
              <w:rPr>
                <w:sz w:val="18"/>
                <w:szCs w:val="20"/>
              </w:rPr>
            </w:pPr>
            <w:r>
              <w:rPr>
                <w:rFonts w:hint="eastAsia"/>
                <w:sz w:val="18"/>
                <w:szCs w:val="20"/>
              </w:rPr>
              <w:t>需支持用户在PC资源首页进行查看和学习，支持根据资源分类进行检索，支持查看资源作者、浏览量、资源概述、资源大纲、预备知识、常见问题、资源文档等信息。</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移动端</w:t>
            </w:r>
          </w:p>
        </w:tc>
        <w:tc>
          <w:tcPr>
            <w:tcW w:w="3336" w:type="pct"/>
            <w:vAlign w:val="center"/>
          </w:tcPr>
          <w:p>
            <w:pPr>
              <w:pStyle w:val="66"/>
              <w:jc w:val="left"/>
              <w:rPr>
                <w:sz w:val="18"/>
                <w:szCs w:val="20"/>
              </w:rPr>
            </w:pPr>
            <w:r>
              <w:rPr>
                <w:rFonts w:hint="eastAsia"/>
                <w:sz w:val="18"/>
                <w:szCs w:val="20"/>
              </w:rPr>
              <w:t>需支持用户在移动端资源首页进行查看和学习，支持根据资源分类进行检索，支持查看资源作者、浏览量、资源概述、资源大纲、预备知识、常见问题、资源文档等信息。（投标时提供该功能软件运行界面截图，可作为该功能点的技术响应程度评分）</w:t>
            </w:r>
          </w:p>
          <w:p>
            <w:pPr>
              <w:pStyle w:val="66"/>
              <w:jc w:val="left"/>
              <w:rPr>
                <w:sz w:val="18"/>
                <w:szCs w:val="20"/>
              </w:rPr>
            </w:pPr>
            <w:r>
              <w:rPr>
                <w:rFonts w:hint="eastAsia"/>
                <w:sz w:val="18"/>
                <w:szCs w:val="20"/>
              </w:rPr>
              <w:t>需支持根据学校需要无缝对接钉钉、微信、企业微信。</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学时统计</w:t>
            </w:r>
          </w:p>
        </w:tc>
        <w:tc>
          <w:tcPr>
            <w:tcW w:w="3336" w:type="pct"/>
            <w:vAlign w:val="center"/>
          </w:tcPr>
          <w:p>
            <w:pPr>
              <w:pStyle w:val="66"/>
              <w:jc w:val="left"/>
              <w:rPr>
                <w:sz w:val="18"/>
                <w:szCs w:val="20"/>
              </w:rPr>
            </w:pPr>
            <w:r>
              <w:rPr>
                <w:rFonts w:hint="eastAsia"/>
                <w:sz w:val="18"/>
                <w:szCs w:val="20"/>
              </w:rPr>
              <w:t>需支持设置每个资源对应的学时，用户观看完后自动统计学时。</w:t>
            </w:r>
          </w:p>
          <w:p>
            <w:pPr>
              <w:pStyle w:val="66"/>
              <w:jc w:val="left"/>
              <w:rPr>
                <w:sz w:val="18"/>
                <w:szCs w:val="20"/>
              </w:rPr>
            </w:pPr>
            <w:r>
              <w:rPr>
                <w:rFonts w:hint="eastAsia"/>
                <w:sz w:val="18"/>
                <w:szCs w:val="20"/>
              </w:rPr>
              <w:t>需支持根据年、月进行统计用户学时，支持数据导出。</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基础配置</w:t>
            </w:r>
          </w:p>
        </w:tc>
        <w:tc>
          <w:tcPr>
            <w:tcW w:w="3336" w:type="pct"/>
            <w:vAlign w:val="center"/>
          </w:tcPr>
          <w:p>
            <w:pPr>
              <w:pStyle w:val="66"/>
              <w:jc w:val="left"/>
              <w:rPr>
                <w:sz w:val="18"/>
                <w:szCs w:val="20"/>
              </w:rPr>
            </w:pPr>
            <w:r>
              <w:rPr>
                <w:rFonts w:hint="eastAsia"/>
                <w:sz w:val="18"/>
                <w:szCs w:val="20"/>
              </w:rPr>
              <w:t>需支持配置首页显示方式、首页标题、首页logo、全部资源显示方式、版权说明、服务器地址、视频文件存储路径、是否启用审核。</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Merge w:val="continue"/>
            <w:vAlign w:val="center"/>
          </w:tcPr>
          <w:p>
            <w:pPr>
              <w:pStyle w:val="66"/>
              <w:rPr>
                <w:sz w:val="18"/>
                <w:szCs w:val="20"/>
              </w:rPr>
            </w:pPr>
          </w:p>
        </w:tc>
        <w:tc>
          <w:tcPr>
            <w:tcW w:w="363" w:type="pct"/>
            <w:vMerge w:val="continue"/>
            <w:vAlign w:val="center"/>
          </w:tcPr>
          <w:p>
            <w:pPr>
              <w:pStyle w:val="66"/>
              <w:rPr>
                <w:sz w:val="18"/>
                <w:szCs w:val="20"/>
              </w:rPr>
            </w:pPr>
          </w:p>
        </w:tc>
        <w:tc>
          <w:tcPr>
            <w:tcW w:w="445" w:type="pct"/>
            <w:vAlign w:val="center"/>
          </w:tcPr>
          <w:p>
            <w:pPr>
              <w:pStyle w:val="66"/>
              <w:rPr>
                <w:sz w:val="18"/>
                <w:szCs w:val="20"/>
              </w:rPr>
            </w:pPr>
            <w:r>
              <w:rPr>
                <w:rFonts w:hint="eastAsia"/>
                <w:sz w:val="18"/>
                <w:szCs w:val="20"/>
              </w:rPr>
              <w:t>资源备份</w:t>
            </w:r>
          </w:p>
        </w:tc>
        <w:tc>
          <w:tcPr>
            <w:tcW w:w="3336" w:type="pct"/>
            <w:vAlign w:val="center"/>
          </w:tcPr>
          <w:p>
            <w:pPr>
              <w:pStyle w:val="66"/>
              <w:jc w:val="left"/>
              <w:rPr>
                <w:sz w:val="18"/>
                <w:szCs w:val="20"/>
              </w:rPr>
            </w:pPr>
            <w:r>
              <w:rPr>
                <w:rFonts w:hint="eastAsia"/>
                <w:sz w:val="18"/>
                <w:szCs w:val="20"/>
              </w:rPr>
              <w:t>1、备份设置</w:t>
            </w:r>
          </w:p>
          <w:p>
            <w:pPr>
              <w:pStyle w:val="66"/>
              <w:jc w:val="left"/>
              <w:rPr>
                <w:sz w:val="18"/>
                <w:szCs w:val="20"/>
              </w:rPr>
            </w:pPr>
            <w:r>
              <w:rPr>
                <w:rFonts w:hint="eastAsia"/>
                <w:sz w:val="18"/>
                <w:szCs w:val="20"/>
              </w:rPr>
              <w:t>数据库备份设置：支持一键启动、停止定时任务；支持手动执行定时任务，支持查看定时任务执行日志；支持按秒、分、时、天、周、月、年进行任务调度；备份任务执行后支持发消息给指定负责人和项目负责人，负责人可以实时了解数据库备份情况。</w:t>
            </w:r>
          </w:p>
          <w:p>
            <w:pPr>
              <w:pStyle w:val="66"/>
              <w:jc w:val="left"/>
              <w:rPr>
                <w:sz w:val="18"/>
                <w:szCs w:val="20"/>
              </w:rPr>
            </w:pPr>
            <w:r>
              <w:rPr>
                <w:rFonts w:hint="eastAsia"/>
                <w:sz w:val="18"/>
                <w:szCs w:val="20"/>
              </w:rPr>
              <w:t>程序备份设置：支持一键启动、停止定时任务；支持手动执行定时任务，支持查看定时任务执行日志；支持按秒、分、时、天、周、月、年进行任务调度；备份任务执行后支持发消息给指定负责人和项目负责人，负责人可以实时了解程序备份情况。（投标时提供该功能软件运行界面截图，可作为该功能点的技术响应程度评分）</w:t>
            </w:r>
          </w:p>
          <w:p>
            <w:pPr>
              <w:pStyle w:val="66"/>
              <w:jc w:val="left"/>
              <w:rPr>
                <w:sz w:val="18"/>
                <w:szCs w:val="20"/>
              </w:rPr>
            </w:pPr>
            <w:r>
              <w:rPr>
                <w:rFonts w:hint="eastAsia"/>
                <w:sz w:val="18"/>
                <w:szCs w:val="20"/>
              </w:rPr>
              <w:t>附件备份设置：支持一键启动、停止定时任务；支持手动执行定时任务，支持查看定时任务执行日志；支持按秒、分、时、天、周、月、年进行任务调度；备份任务执行后支持发消息给指定负责人和项目负责人，负责人可以实时了解附件备份情况。</w:t>
            </w:r>
          </w:p>
          <w:p>
            <w:pPr>
              <w:pStyle w:val="66"/>
              <w:jc w:val="left"/>
              <w:rPr>
                <w:sz w:val="18"/>
                <w:szCs w:val="20"/>
              </w:rPr>
            </w:pPr>
            <w:r>
              <w:rPr>
                <w:rFonts w:hint="eastAsia"/>
                <w:sz w:val="18"/>
                <w:szCs w:val="20"/>
              </w:rPr>
              <w:t>2、数据库备份</w:t>
            </w:r>
          </w:p>
          <w:p>
            <w:pPr>
              <w:pStyle w:val="66"/>
              <w:jc w:val="left"/>
              <w:rPr>
                <w:sz w:val="18"/>
                <w:szCs w:val="20"/>
              </w:rPr>
            </w:pPr>
            <w:r>
              <w:rPr>
                <w:rFonts w:hint="eastAsia"/>
                <w:sz w:val="18"/>
                <w:szCs w:val="20"/>
              </w:rPr>
              <w:t>支持以全量备份的形式提供备份服务以保证数据的一致性。</w:t>
            </w:r>
          </w:p>
          <w:p>
            <w:pPr>
              <w:pStyle w:val="66"/>
              <w:jc w:val="left"/>
              <w:rPr>
                <w:sz w:val="18"/>
                <w:szCs w:val="20"/>
              </w:rPr>
            </w:pPr>
            <w:r>
              <w:rPr>
                <w:rFonts w:hint="eastAsia"/>
                <w:sz w:val="18"/>
                <w:szCs w:val="20"/>
              </w:rPr>
              <w:t>支持异地备份多种主流数据库，包括异地备份Oracle、Postgresql、MySql、SqlServer等数据库。</w:t>
            </w:r>
          </w:p>
          <w:p>
            <w:pPr>
              <w:pStyle w:val="66"/>
              <w:jc w:val="left"/>
              <w:rPr>
                <w:sz w:val="18"/>
                <w:szCs w:val="20"/>
              </w:rPr>
            </w:pPr>
            <w:r>
              <w:rPr>
                <w:rFonts w:hint="eastAsia"/>
                <w:sz w:val="18"/>
                <w:szCs w:val="20"/>
              </w:rPr>
              <w:t>需支持简单设置实现数据异地备份。</w:t>
            </w:r>
          </w:p>
          <w:p>
            <w:pPr>
              <w:pStyle w:val="66"/>
              <w:jc w:val="left"/>
              <w:rPr>
                <w:sz w:val="18"/>
                <w:szCs w:val="20"/>
              </w:rPr>
            </w:pPr>
            <w:r>
              <w:rPr>
                <w:rFonts w:hint="eastAsia"/>
                <w:sz w:val="18"/>
                <w:szCs w:val="20"/>
              </w:rPr>
              <w:t>支持完整还原备份数据以保证数据的安全性、可靠性和稳定性。</w:t>
            </w:r>
          </w:p>
          <w:p>
            <w:pPr>
              <w:pStyle w:val="66"/>
              <w:jc w:val="left"/>
              <w:rPr>
                <w:sz w:val="18"/>
                <w:szCs w:val="20"/>
              </w:rPr>
            </w:pPr>
            <w:r>
              <w:rPr>
                <w:rFonts w:hint="eastAsia"/>
                <w:sz w:val="18"/>
                <w:szCs w:val="20"/>
              </w:rPr>
              <w:t>支持手动备份数据库数据和自动备份数据库数据。</w:t>
            </w:r>
          </w:p>
          <w:p>
            <w:pPr>
              <w:pStyle w:val="66"/>
              <w:jc w:val="left"/>
              <w:rPr>
                <w:sz w:val="18"/>
                <w:szCs w:val="20"/>
              </w:rPr>
            </w:pPr>
            <w:r>
              <w:rPr>
                <w:rFonts w:hint="eastAsia"/>
                <w:sz w:val="18"/>
                <w:szCs w:val="20"/>
              </w:rPr>
              <w:t>支持报表形式查看数据库备份记录；实时查看数据库备份情况。</w:t>
            </w:r>
          </w:p>
          <w:p>
            <w:pPr>
              <w:pStyle w:val="66"/>
              <w:jc w:val="left"/>
              <w:rPr>
                <w:sz w:val="18"/>
                <w:szCs w:val="20"/>
              </w:rPr>
            </w:pPr>
            <w:r>
              <w:rPr>
                <w:rFonts w:hint="eastAsia"/>
                <w:sz w:val="18"/>
                <w:szCs w:val="20"/>
              </w:rPr>
              <w:t>支持查看文件名、文件大小、备份耗时、备份时间、备份信息、备份状态等。</w:t>
            </w:r>
          </w:p>
          <w:p>
            <w:pPr>
              <w:pStyle w:val="66"/>
              <w:jc w:val="left"/>
              <w:rPr>
                <w:sz w:val="18"/>
                <w:szCs w:val="20"/>
              </w:rPr>
            </w:pPr>
            <w:r>
              <w:rPr>
                <w:rFonts w:hint="eastAsia"/>
                <w:sz w:val="18"/>
                <w:szCs w:val="20"/>
              </w:rPr>
              <w:t>支持按照状态、关键字搜索。</w:t>
            </w:r>
          </w:p>
          <w:p>
            <w:pPr>
              <w:pStyle w:val="66"/>
              <w:jc w:val="left"/>
              <w:rPr>
                <w:sz w:val="18"/>
                <w:szCs w:val="20"/>
              </w:rPr>
            </w:pPr>
            <w:r>
              <w:rPr>
                <w:rFonts w:hint="eastAsia"/>
                <w:sz w:val="18"/>
                <w:szCs w:val="20"/>
              </w:rPr>
              <w:t>3、文件备份</w:t>
            </w:r>
          </w:p>
          <w:p>
            <w:pPr>
              <w:pStyle w:val="66"/>
              <w:jc w:val="left"/>
              <w:rPr>
                <w:sz w:val="18"/>
                <w:szCs w:val="20"/>
              </w:rPr>
            </w:pPr>
            <w:r>
              <w:rPr>
                <w:rFonts w:hint="eastAsia"/>
                <w:sz w:val="18"/>
                <w:szCs w:val="20"/>
              </w:rPr>
              <w:t>支持学校自定义配置备份文件的任务调度，支持按秒、分、时、天、周、月、年等多维度进行任务调度。</w:t>
            </w:r>
          </w:p>
          <w:p>
            <w:pPr>
              <w:pStyle w:val="66"/>
              <w:jc w:val="left"/>
              <w:rPr>
                <w:sz w:val="18"/>
                <w:szCs w:val="20"/>
              </w:rPr>
            </w:pPr>
            <w:r>
              <w:rPr>
                <w:rFonts w:hint="eastAsia"/>
                <w:sz w:val="18"/>
                <w:szCs w:val="20"/>
              </w:rPr>
              <w:t>支持以增量的形式备份文件以减少存储空间；支持报表形式查看数据库备份记录。</w:t>
            </w:r>
          </w:p>
          <w:p>
            <w:pPr>
              <w:pStyle w:val="66"/>
              <w:jc w:val="left"/>
              <w:rPr>
                <w:sz w:val="18"/>
                <w:szCs w:val="20"/>
              </w:rPr>
            </w:pPr>
            <w:r>
              <w:rPr>
                <w:rFonts w:hint="eastAsia"/>
                <w:sz w:val="18"/>
                <w:szCs w:val="20"/>
              </w:rPr>
              <w:t>支持自定义配置文件备份失败次数，在备份失败次数范围内将继续备份失败的记录，直至达到配置的失败次数后，文件将不进行自动备份。</w:t>
            </w:r>
          </w:p>
          <w:p>
            <w:pPr>
              <w:pStyle w:val="66"/>
              <w:jc w:val="left"/>
              <w:rPr>
                <w:sz w:val="18"/>
                <w:szCs w:val="20"/>
              </w:rPr>
            </w:pPr>
            <w:r>
              <w:rPr>
                <w:rFonts w:hint="eastAsia"/>
                <w:sz w:val="18"/>
                <w:szCs w:val="20"/>
              </w:rPr>
              <w:t>支持以文件夹的形式保存备份的文件，可快速还原备份的文件；能以简单易用的方式轻松解决学校文件备份的痛点。为学校提供安全、稳定可靠的文件备份服务。</w:t>
            </w:r>
          </w:p>
          <w:p>
            <w:pPr>
              <w:pStyle w:val="66"/>
              <w:jc w:val="left"/>
              <w:rPr>
                <w:sz w:val="18"/>
                <w:szCs w:val="20"/>
              </w:rPr>
            </w:pPr>
            <w:r>
              <w:rPr>
                <w:rFonts w:hint="eastAsia"/>
                <w:sz w:val="18"/>
                <w:szCs w:val="20"/>
              </w:rPr>
              <w:t>4、程序备份</w:t>
            </w:r>
          </w:p>
          <w:p>
            <w:pPr>
              <w:pStyle w:val="66"/>
              <w:jc w:val="left"/>
              <w:rPr>
                <w:sz w:val="18"/>
                <w:szCs w:val="20"/>
              </w:rPr>
            </w:pPr>
            <w:r>
              <w:rPr>
                <w:rFonts w:hint="eastAsia"/>
                <w:sz w:val="18"/>
                <w:szCs w:val="20"/>
              </w:rPr>
              <w:t>支持查看文件名、文件大小、备份耗时、备份时间、备份信息、备份状态等。</w:t>
            </w:r>
          </w:p>
          <w:p>
            <w:pPr>
              <w:pStyle w:val="66"/>
              <w:jc w:val="left"/>
              <w:rPr>
                <w:sz w:val="18"/>
                <w:szCs w:val="20"/>
              </w:rPr>
            </w:pPr>
            <w:r>
              <w:rPr>
                <w:rFonts w:hint="eastAsia"/>
                <w:sz w:val="18"/>
                <w:szCs w:val="20"/>
              </w:rPr>
              <w:t>支持按照状态、关键字搜索。</w:t>
            </w:r>
          </w:p>
          <w:p>
            <w:pPr>
              <w:pStyle w:val="66"/>
              <w:jc w:val="left"/>
              <w:rPr>
                <w:sz w:val="18"/>
                <w:szCs w:val="20"/>
              </w:rPr>
            </w:pPr>
            <w:r>
              <w:rPr>
                <w:rFonts w:hint="eastAsia"/>
                <w:sz w:val="18"/>
                <w:szCs w:val="20"/>
              </w:rPr>
              <w:t>支持手动备份、删除备份。</w:t>
            </w:r>
          </w:p>
          <w:p>
            <w:pPr>
              <w:pStyle w:val="66"/>
              <w:jc w:val="left"/>
              <w:rPr>
                <w:sz w:val="18"/>
                <w:szCs w:val="20"/>
              </w:rPr>
            </w:pPr>
            <w:r>
              <w:rPr>
                <w:rFonts w:hint="eastAsia"/>
                <w:sz w:val="18"/>
                <w:szCs w:val="20"/>
              </w:rPr>
              <w:t>支持一键启动、停止备份定时任务。</w:t>
            </w:r>
          </w:p>
          <w:p>
            <w:pPr>
              <w:pStyle w:val="66"/>
              <w:jc w:val="left"/>
              <w:rPr>
                <w:sz w:val="18"/>
                <w:szCs w:val="20"/>
              </w:rPr>
            </w:pPr>
            <w:r>
              <w:rPr>
                <w:rFonts w:hint="eastAsia"/>
                <w:sz w:val="18"/>
                <w:szCs w:val="20"/>
              </w:rPr>
              <w:t>支持手动执行备份服务，支持查看执行日志。</w:t>
            </w:r>
          </w:p>
          <w:p>
            <w:pPr>
              <w:pStyle w:val="66"/>
              <w:jc w:val="left"/>
              <w:rPr>
                <w:sz w:val="18"/>
                <w:szCs w:val="20"/>
              </w:rPr>
            </w:pPr>
            <w:r>
              <w:rPr>
                <w:rFonts w:hint="eastAsia"/>
                <w:sz w:val="18"/>
                <w:szCs w:val="20"/>
              </w:rPr>
              <w:t>支持按秒、分、时、天、周、月、年等多维度进行任务调度。</w:t>
            </w:r>
          </w:p>
          <w:p>
            <w:pPr>
              <w:pStyle w:val="66"/>
              <w:jc w:val="left"/>
              <w:rPr>
                <w:sz w:val="18"/>
                <w:szCs w:val="20"/>
              </w:rPr>
            </w:pPr>
            <w:r>
              <w:rPr>
                <w:rFonts w:hint="eastAsia"/>
                <w:sz w:val="18"/>
                <w:szCs w:val="20"/>
              </w:rPr>
              <w:t>支持报表形式查看程序备份记录，实时查看程序备份情况。</w:t>
            </w:r>
          </w:p>
        </w:tc>
        <w:tc>
          <w:tcPr>
            <w:tcW w:w="630" w:type="pct"/>
            <w:vMerge w:val="continue"/>
            <w:vAlign w:val="center"/>
          </w:tcPr>
          <w:p>
            <w:pPr>
              <w:pStyle w:val="66"/>
              <w:jc w:val="left"/>
              <w:rPr>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 w:type="pct"/>
            <w:vAlign w:val="center"/>
          </w:tcPr>
          <w:p>
            <w:pPr>
              <w:pStyle w:val="66"/>
              <w:rPr>
                <w:sz w:val="18"/>
                <w:szCs w:val="20"/>
              </w:rPr>
            </w:pPr>
          </w:p>
        </w:tc>
        <w:tc>
          <w:tcPr>
            <w:tcW w:w="363" w:type="pct"/>
            <w:vAlign w:val="center"/>
          </w:tcPr>
          <w:p>
            <w:pPr>
              <w:pStyle w:val="66"/>
              <w:rPr>
                <w:sz w:val="18"/>
                <w:szCs w:val="20"/>
              </w:rPr>
            </w:pPr>
            <w:r>
              <w:rPr>
                <w:sz w:val="18"/>
                <w:szCs w:val="20"/>
              </w:rPr>
              <w:t>合计</w:t>
            </w:r>
          </w:p>
        </w:tc>
        <w:tc>
          <w:tcPr>
            <w:tcW w:w="445" w:type="pct"/>
            <w:vAlign w:val="center"/>
          </w:tcPr>
          <w:p>
            <w:pPr>
              <w:pStyle w:val="66"/>
              <w:rPr>
                <w:sz w:val="18"/>
                <w:szCs w:val="20"/>
              </w:rPr>
            </w:pPr>
          </w:p>
        </w:tc>
        <w:tc>
          <w:tcPr>
            <w:tcW w:w="3336" w:type="pct"/>
            <w:vAlign w:val="center"/>
          </w:tcPr>
          <w:p>
            <w:pPr>
              <w:pStyle w:val="66"/>
              <w:jc w:val="left"/>
              <w:rPr>
                <w:sz w:val="18"/>
                <w:szCs w:val="20"/>
              </w:rPr>
            </w:pPr>
          </w:p>
        </w:tc>
        <w:tc>
          <w:tcPr>
            <w:tcW w:w="630" w:type="pct"/>
            <w:vAlign w:val="center"/>
          </w:tcPr>
          <w:p>
            <w:pPr>
              <w:pStyle w:val="66"/>
              <w:jc w:val="left"/>
              <w:rPr>
                <w:sz w:val="18"/>
                <w:szCs w:val="20"/>
              </w:rPr>
            </w:pPr>
          </w:p>
        </w:tc>
      </w:tr>
    </w:tbl>
    <w:p>
      <w:pPr>
        <w:pStyle w:val="2"/>
        <w:ind w:left="0" w:leftChars="0" w:firstLine="0" w:firstLineChars="0"/>
        <w:rPr>
          <w:rFonts w:hint="eastAsia"/>
          <w:sz w:val="24"/>
          <w:szCs w:val="24"/>
          <w:lang w:val="en-US" w:eastAsia="zh-CN"/>
        </w:rPr>
      </w:pPr>
    </w:p>
    <w:p>
      <w:pPr>
        <w:pStyle w:val="2"/>
        <w:ind w:left="0" w:leftChars="0" w:firstLine="0" w:firstLineChars="0"/>
        <w:rPr>
          <w:rFonts w:hint="default" w:eastAsiaTheme="minorEastAsia"/>
          <w:sz w:val="24"/>
          <w:szCs w:val="24"/>
          <w:lang w:val="en-US" w:eastAsia="zh-CN"/>
        </w:rPr>
      </w:pPr>
      <w:r>
        <w:rPr>
          <w:rFonts w:hint="eastAsia"/>
          <w:sz w:val="24"/>
          <w:szCs w:val="24"/>
          <w:lang w:val="en-US" w:eastAsia="zh-CN"/>
        </w:rPr>
        <w:t>汇总报价：</w:t>
      </w:r>
    </w:p>
    <w:tbl>
      <w:tblPr>
        <w:tblStyle w:val="30"/>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989"/>
        <w:gridCol w:w="4076"/>
        <w:gridCol w:w="2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77" w:type="dxa"/>
            <w:vAlign w:val="center"/>
          </w:tcPr>
          <w:p>
            <w:pPr>
              <w:ind w:left="0" w:leftChars="0" w:firstLine="0" w:firstLineChars="0"/>
              <w:jc w:val="center"/>
              <w:rPr>
                <w:b/>
                <w:bCs/>
                <w:sz w:val="24"/>
              </w:rPr>
            </w:pPr>
            <w:r>
              <w:rPr>
                <w:rFonts w:hint="eastAsia"/>
                <w:b/>
                <w:bCs/>
                <w:sz w:val="24"/>
              </w:rPr>
              <w:t>序号</w:t>
            </w:r>
          </w:p>
        </w:tc>
        <w:tc>
          <w:tcPr>
            <w:tcW w:w="1989" w:type="dxa"/>
            <w:vAlign w:val="center"/>
          </w:tcPr>
          <w:p>
            <w:pPr>
              <w:ind w:left="0" w:leftChars="0" w:firstLine="0" w:firstLineChars="0"/>
              <w:jc w:val="center"/>
              <w:rPr>
                <w:rFonts w:hint="default" w:eastAsiaTheme="minorEastAsia"/>
                <w:b/>
                <w:bCs/>
                <w:sz w:val="24"/>
                <w:lang w:val="en-US" w:eastAsia="zh-CN"/>
              </w:rPr>
            </w:pPr>
            <w:r>
              <w:rPr>
                <w:rFonts w:hint="eastAsia"/>
                <w:b/>
                <w:bCs/>
                <w:sz w:val="24"/>
                <w:lang w:val="en-US" w:eastAsia="zh-CN"/>
              </w:rPr>
              <w:t>模块</w:t>
            </w:r>
          </w:p>
        </w:tc>
        <w:tc>
          <w:tcPr>
            <w:tcW w:w="4076" w:type="dxa"/>
            <w:vAlign w:val="center"/>
          </w:tcPr>
          <w:p>
            <w:pPr>
              <w:ind w:left="0" w:leftChars="0" w:firstLine="0" w:firstLineChars="0"/>
              <w:jc w:val="center"/>
              <w:rPr>
                <w:rFonts w:hint="eastAsia" w:eastAsiaTheme="minorEastAsia"/>
                <w:b/>
                <w:bCs/>
                <w:sz w:val="24"/>
                <w:lang w:eastAsia="zh-CN"/>
              </w:rPr>
            </w:pPr>
            <w:r>
              <w:rPr>
                <w:rFonts w:hint="eastAsia"/>
                <w:b/>
                <w:bCs/>
                <w:sz w:val="24"/>
              </w:rPr>
              <w:t>报价</w:t>
            </w:r>
            <w:r>
              <w:rPr>
                <w:rFonts w:hint="eastAsia"/>
                <w:b/>
                <w:bCs/>
                <w:sz w:val="24"/>
                <w:lang w:eastAsia="zh-CN"/>
              </w:rPr>
              <w:t>（</w:t>
            </w:r>
            <w:r>
              <w:rPr>
                <w:rFonts w:hint="eastAsia"/>
                <w:b/>
                <w:bCs/>
                <w:sz w:val="24"/>
                <w:lang w:val="en-US" w:eastAsia="zh-CN"/>
              </w:rPr>
              <w:t>元</w:t>
            </w:r>
            <w:r>
              <w:rPr>
                <w:rFonts w:hint="eastAsia"/>
                <w:b/>
                <w:bCs/>
                <w:sz w:val="24"/>
                <w:lang w:eastAsia="zh-CN"/>
              </w:rPr>
              <w:t>）</w:t>
            </w:r>
          </w:p>
        </w:tc>
        <w:tc>
          <w:tcPr>
            <w:tcW w:w="2741" w:type="dxa"/>
            <w:vAlign w:val="center"/>
          </w:tcPr>
          <w:p>
            <w:pPr>
              <w:ind w:left="0" w:leftChars="0" w:firstLine="0" w:firstLineChars="0"/>
              <w:jc w:val="center"/>
              <w:rPr>
                <w:b/>
                <w:bCs/>
                <w:sz w:val="24"/>
              </w:rPr>
            </w:pPr>
            <w:r>
              <w:rPr>
                <w:rFonts w:hint="eastAsia"/>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77" w:type="dxa"/>
            <w:vAlign w:val="center"/>
          </w:tcPr>
          <w:p>
            <w:pPr>
              <w:ind w:left="0" w:leftChars="0" w:firstLine="0" w:firstLineChars="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w:t>
            </w:r>
          </w:p>
        </w:tc>
        <w:tc>
          <w:tcPr>
            <w:tcW w:w="1989" w:type="dxa"/>
            <w:vAlign w:val="center"/>
          </w:tcPr>
          <w:p>
            <w:pPr>
              <w:ind w:left="0" w:leftChars="0" w:firstLine="0" w:firstLineChars="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统一权限平台</w:t>
            </w:r>
          </w:p>
        </w:tc>
        <w:tc>
          <w:tcPr>
            <w:tcW w:w="4076" w:type="dxa"/>
            <w:vAlign w:val="center"/>
          </w:tcPr>
          <w:p>
            <w:pPr>
              <w:jc w:val="center"/>
              <w:rPr>
                <w:rFonts w:hint="eastAsia" w:asciiTheme="minorEastAsia" w:hAnsiTheme="minorEastAsia" w:eastAsiaTheme="minorEastAsia" w:cstheme="minorEastAsia"/>
                <w:sz w:val="20"/>
                <w:szCs w:val="20"/>
              </w:rPr>
            </w:pPr>
          </w:p>
        </w:tc>
        <w:tc>
          <w:tcPr>
            <w:tcW w:w="2741" w:type="dxa"/>
            <w:vAlign w:val="center"/>
          </w:tcPr>
          <w:p>
            <w:pPr>
              <w:jc w:val="center"/>
              <w:rPr>
                <w:rFonts w:hint="eastAsia" w:asciiTheme="minorEastAsia" w:hAnsiTheme="minorEastAsia" w:eastAsiaTheme="minorEastAsia" w:cstheme="min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77" w:type="dxa"/>
            <w:vAlign w:val="center"/>
          </w:tcPr>
          <w:p>
            <w:pPr>
              <w:ind w:left="0" w:leftChars="0" w:firstLine="0" w:firstLineChars="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2</w:t>
            </w:r>
          </w:p>
        </w:tc>
        <w:tc>
          <w:tcPr>
            <w:tcW w:w="1989" w:type="dxa"/>
            <w:vAlign w:val="center"/>
          </w:tcPr>
          <w:p>
            <w:pPr>
              <w:ind w:left="0" w:leftChars="0" w:firstLine="0" w:firstLineChars="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napToGrid w:val="0"/>
                <w:color w:val="000000"/>
                <w:spacing w:val="-6"/>
                <w:kern w:val="0"/>
                <w:sz w:val="20"/>
                <w:szCs w:val="20"/>
                <w:lang w:bidi="zh-CN"/>
              </w:rPr>
              <w:t>教师电子档案</w:t>
            </w:r>
          </w:p>
        </w:tc>
        <w:tc>
          <w:tcPr>
            <w:tcW w:w="4076" w:type="dxa"/>
            <w:vAlign w:val="center"/>
          </w:tcPr>
          <w:p>
            <w:pPr>
              <w:jc w:val="center"/>
              <w:rPr>
                <w:rFonts w:hint="eastAsia" w:asciiTheme="minorEastAsia" w:hAnsiTheme="minorEastAsia" w:eastAsiaTheme="minorEastAsia" w:cstheme="minorEastAsia"/>
                <w:sz w:val="20"/>
                <w:szCs w:val="20"/>
              </w:rPr>
            </w:pPr>
          </w:p>
        </w:tc>
        <w:tc>
          <w:tcPr>
            <w:tcW w:w="2741" w:type="dxa"/>
            <w:vAlign w:val="center"/>
          </w:tcPr>
          <w:p>
            <w:pPr>
              <w:jc w:val="center"/>
              <w:rPr>
                <w:rFonts w:hint="eastAsia" w:asciiTheme="minorEastAsia" w:hAnsiTheme="minorEastAsia" w:eastAsiaTheme="minorEastAsia" w:cstheme="min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77" w:type="dxa"/>
            <w:vAlign w:val="center"/>
          </w:tcPr>
          <w:p>
            <w:pPr>
              <w:ind w:left="0" w:leftChars="0" w:firstLine="0" w:firstLineChars="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3</w:t>
            </w:r>
          </w:p>
        </w:tc>
        <w:tc>
          <w:tcPr>
            <w:tcW w:w="1989" w:type="dxa"/>
            <w:vAlign w:val="center"/>
          </w:tcPr>
          <w:p>
            <w:pPr>
              <w:ind w:left="0" w:leftChars="0" w:firstLine="0" w:firstLineChars="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资源管理平台</w:t>
            </w:r>
          </w:p>
        </w:tc>
        <w:tc>
          <w:tcPr>
            <w:tcW w:w="4076" w:type="dxa"/>
            <w:vAlign w:val="center"/>
          </w:tcPr>
          <w:p>
            <w:pPr>
              <w:jc w:val="center"/>
              <w:rPr>
                <w:rFonts w:hint="eastAsia" w:asciiTheme="minorEastAsia" w:hAnsiTheme="minorEastAsia" w:eastAsiaTheme="minorEastAsia" w:cstheme="minorEastAsia"/>
                <w:sz w:val="20"/>
                <w:szCs w:val="20"/>
              </w:rPr>
            </w:pPr>
          </w:p>
        </w:tc>
        <w:tc>
          <w:tcPr>
            <w:tcW w:w="2741" w:type="dxa"/>
            <w:vAlign w:val="center"/>
          </w:tcPr>
          <w:p>
            <w:pPr>
              <w:jc w:val="center"/>
              <w:rPr>
                <w:rFonts w:hint="eastAsia" w:asciiTheme="minorEastAsia" w:hAnsiTheme="minorEastAsia" w:eastAsiaTheme="minorEastAsia" w:cstheme="min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866" w:type="dxa"/>
            <w:gridSpan w:val="2"/>
            <w:vAlign w:val="center"/>
          </w:tcPr>
          <w:p>
            <w:pPr>
              <w:ind w:left="0" w:leftChars="0" w:firstLine="0" w:firstLineChars="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合    计</w:t>
            </w:r>
          </w:p>
        </w:tc>
        <w:tc>
          <w:tcPr>
            <w:tcW w:w="4076" w:type="dxa"/>
            <w:vAlign w:val="center"/>
          </w:tcPr>
          <w:p>
            <w:pPr>
              <w:jc w:val="center"/>
              <w:rPr>
                <w:rFonts w:hint="eastAsia" w:asciiTheme="minorEastAsia" w:hAnsiTheme="minorEastAsia" w:eastAsiaTheme="minorEastAsia" w:cstheme="minorEastAsia"/>
                <w:sz w:val="20"/>
                <w:szCs w:val="20"/>
              </w:rPr>
            </w:pPr>
          </w:p>
        </w:tc>
        <w:tc>
          <w:tcPr>
            <w:tcW w:w="2741" w:type="dxa"/>
            <w:vAlign w:val="center"/>
          </w:tcPr>
          <w:p>
            <w:pPr>
              <w:jc w:val="center"/>
              <w:rPr>
                <w:rFonts w:hint="eastAsia" w:asciiTheme="minorEastAsia" w:hAnsiTheme="minorEastAsia" w:eastAsiaTheme="minorEastAsia" w:cstheme="min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866" w:type="dxa"/>
            <w:gridSpan w:val="2"/>
            <w:vAlign w:val="center"/>
          </w:tcPr>
          <w:p>
            <w:pPr>
              <w:ind w:left="0" w:leftChars="0" w:firstLine="0" w:firstLineChars="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报价单位（公章）</w:t>
            </w:r>
          </w:p>
        </w:tc>
        <w:tc>
          <w:tcPr>
            <w:tcW w:w="6817" w:type="dxa"/>
            <w:gridSpan w:val="2"/>
            <w:vAlign w:val="center"/>
          </w:tcPr>
          <w:p>
            <w:pPr>
              <w:jc w:val="center"/>
              <w:rPr>
                <w:rFonts w:hint="eastAsia" w:asciiTheme="minorEastAsia" w:hAnsiTheme="minorEastAsia" w:eastAsiaTheme="minorEastAsia" w:cstheme="min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866" w:type="dxa"/>
            <w:gridSpan w:val="2"/>
            <w:vAlign w:val="center"/>
          </w:tcPr>
          <w:p>
            <w:pPr>
              <w:ind w:left="0" w:leftChars="0" w:firstLine="0" w:firstLineChars="0"/>
              <w:jc w:val="center"/>
              <w:rPr>
                <w:rFonts w:hint="eastAsia" w:asciiTheme="minorEastAsia" w:hAnsiTheme="minorEastAsia" w:eastAsiaTheme="minorEastAsia" w:cstheme="minorEastAsia"/>
                <w:sz w:val="20"/>
                <w:szCs w:val="20"/>
                <w:lang w:eastAsia="zh-CN"/>
              </w:rPr>
            </w:pPr>
            <w:r>
              <w:rPr>
                <w:rFonts w:hint="eastAsia" w:asciiTheme="minorEastAsia" w:hAnsiTheme="minorEastAsia" w:eastAsiaTheme="minorEastAsia" w:cstheme="minorEastAsia"/>
                <w:sz w:val="20"/>
                <w:szCs w:val="20"/>
              </w:rPr>
              <w:t>联系人</w:t>
            </w:r>
            <w:r>
              <w:rPr>
                <w:rFonts w:hint="eastAsia" w:asciiTheme="minorEastAsia" w:hAnsiTheme="minorEastAsia" w:eastAsiaTheme="minorEastAsia" w:cstheme="minorEastAsia"/>
                <w:sz w:val="20"/>
                <w:szCs w:val="20"/>
                <w:lang w:eastAsia="zh-CN"/>
              </w:rPr>
              <w:t>：</w:t>
            </w:r>
          </w:p>
        </w:tc>
        <w:tc>
          <w:tcPr>
            <w:tcW w:w="6817" w:type="dxa"/>
            <w:gridSpan w:val="2"/>
            <w:vAlign w:val="center"/>
          </w:tcPr>
          <w:p>
            <w:pPr>
              <w:jc w:val="center"/>
              <w:rPr>
                <w:rFonts w:hint="eastAsia" w:asciiTheme="minorEastAsia" w:hAnsiTheme="minorEastAsia" w:eastAsiaTheme="minorEastAsia" w:cstheme="min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866" w:type="dxa"/>
            <w:gridSpan w:val="2"/>
            <w:vAlign w:val="center"/>
          </w:tcPr>
          <w:p>
            <w:pPr>
              <w:ind w:left="0" w:leftChars="0" w:firstLine="0" w:firstLineChars="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联系电话</w:t>
            </w:r>
            <w:r>
              <w:rPr>
                <w:rFonts w:hint="eastAsia" w:asciiTheme="minorEastAsia" w:hAnsiTheme="minorEastAsia" w:eastAsiaTheme="minorEastAsia" w:cstheme="minorEastAsia"/>
                <w:sz w:val="20"/>
                <w:szCs w:val="20"/>
                <w:lang w:eastAsia="zh-CN"/>
              </w:rPr>
              <w:t>：</w:t>
            </w:r>
          </w:p>
        </w:tc>
        <w:tc>
          <w:tcPr>
            <w:tcW w:w="6817" w:type="dxa"/>
            <w:gridSpan w:val="2"/>
            <w:vAlign w:val="center"/>
          </w:tcPr>
          <w:p>
            <w:pPr>
              <w:jc w:val="center"/>
              <w:rPr>
                <w:rFonts w:hint="eastAsia" w:asciiTheme="minorEastAsia" w:hAnsiTheme="minorEastAsia" w:eastAsiaTheme="minorEastAsia" w:cstheme="minorEastAsia"/>
                <w:sz w:val="20"/>
                <w:szCs w:val="20"/>
              </w:rPr>
            </w:pPr>
          </w:p>
        </w:tc>
      </w:tr>
    </w:tbl>
    <w:p>
      <w:pPr>
        <w:ind w:firstLine="420"/>
        <w:rPr>
          <w:rFonts w:hint="eastAsia" w:eastAsiaTheme="minorEastAsia"/>
          <w:lang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jc w:val="center"/>
    </w:pPr>
    <w:r>
      <w:rPr>
        <w:rFonts w:hint="eastAsia"/>
      </w:rPr>
      <w:t>第</w:t>
    </w:r>
    <w:r>
      <w:fldChar w:fldCharType="begin"/>
    </w:r>
    <w:r>
      <w:instrText xml:space="preserve">PAGE   \* MERGEFORMAT</w:instrText>
    </w:r>
    <w:r>
      <w:fldChar w:fldCharType="separate"/>
    </w:r>
    <w:r>
      <w:rPr>
        <w:lang w:val="zh-CN"/>
      </w:rPr>
      <w:t>8</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C614B8"/>
    <w:multiLevelType w:val="multilevel"/>
    <w:tmpl w:val="18C614B8"/>
    <w:lvl w:ilvl="0" w:tentative="0">
      <w:start w:val="1"/>
      <w:numFmt w:val="decimal"/>
      <w:pStyle w:val="3"/>
      <w:lvlText w:val="第%1章"/>
      <w:lvlJc w:val="left"/>
      <w:pPr>
        <w:ind w:left="7513" w:hanging="425"/>
      </w:pPr>
      <w:rPr>
        <w:rFonts w:hint="eastAsia"/>
      </w:rPr>
    </w:lvl>
    <w:lvl w:ilvl="1" w:tentative="0">
      <w:start w:val="1"/>
      <w:numFmt w:val="decimal"/>
      <w:pStyle w:val="4"/>
      <w:lvlText w:val="%1.%2"/>
      <w:lvlJc w:val="left"/>
      <w:pPr>
        <w:ind w:left="992" w:hanging="567"/>
      </w:pPr>
      <w:rPr>
        <w:rFonts w:hint="eastAsia"/>
      </w:rPr>
    </w:lvl>
    <w:lvl w:ilvl="2" w:tentative="0">
      <w:start w:val="1"/>
      <w:numFmt w:val="decimal"/>
      <w:pStyle w:val="5"/>
      <w:lvlText w:val="%1.%2.%3"/>
      <w:lvlJc w:val="left"/>
      <w:pPr>
        <w:ind w:left="1418" w:hanging="567"/>
      </w:pPr>
      <w:rPr>
        <w:rFonts w:hint="eastAsia"/>
      </w:rPr>
    </w:lvl>
    <w:lvl w:ilvl="3" w:tentative="0">
      <w:start w:val="1"/>
      <w:numFmt w:val="decimal"/>
      <w:pStyle w:val="6"/>
      <w:lvlText w:val="%1.%2.%3.%4"/>
      <w:lvlJc w:val="left"/>
      <w:pPr>
        <w:ind w:left="1984" w:hanging="708"/>
      </w:pPr>
      <w:rPr>
        <w:rFonts w:hint="eastAsia"/>
      </w:rPr>
    </w:lvl>
    <w:lvl w:ilvl="4" w:tentative="0">
      <w:start w:val="1"/>
      <w:numFmt w:val="decimal"/>
      <w:pStyle w:val="7"/>
      <w:lvlText w:val="%1.%2.%3.%4.%5"/>
      <w:lvlJc w:val="left"/>
      <w:pPr>
        <w:ind w:left="2551" w:hanging="850"/>
      </w:pPr>
      <w:rPr>
        <w:rFonts w:hint="eastAsia"/>
      </w:rPr>
    </w:lvl>
    <w:lvl w:ilvl="5" w:tentative="0">
      <w:start w:val="1"/>
      <w:numFmt w:val="decimal"/>
      <w:pStyle w:val="8"/>
      <w:lvlText w:val="%1.%2.%3.%4.%5.%6"/>
      <w:lvlJc w:val="left"/>
      <w:pPr>
        <w:ind w:left="3260" w:hanging="1134"/>
      </w:pPr>
      <w:rPr>
        <w:rFonts w:hint="eastAsia"/>
      </w:rPr>
    </w:lvl>
    <w:lvl w:ilvl="6" w:tentative="0">
      <w:start w:val="1"/>
      <w:numFmt w:val="decimal"/>
      <w:pStyle w:val="9"/>
      <w:lvlText w:val="%1.%2.%3.%4.%5.%6.%7"/>
      <w:lvlJc w:val="left"/>
      <w:pPr>
        <w:ind w:left="3827" w:hanging="1276"/>
      </w:pPr>
      <w:rPr>
        <w:rFonts w:hint="eastAsia"/>
      </w:rPr>
    </w:lvl>
    <w:lvl w:ilvl="7" w:tentative="0">
      <w:start w:val="1"/>
      <w:numFmt w:val="decimal"/>
      <w:pStyle w:val="10"/>
      <w:lvlText w:val="%1.%2.%3.%4.%5.%6.%7.%8"/>
      <w:lvlJc w:val="left"/>
      <w:pPr>
        <w:ind w:left="4394" w:hanging="1418"/>
      </w:pPr>
      <w:rPr>
        <w:rFonts w:hint="eastAsia"/>
      </w:rPr>
    </w:lvl>
    <w:lvl w:ilvl="8" w:tentative="0">
      <w:start w:val="1"/>
      <w:numFmt w:val="decimal"/>
      <w:pStyle w:val="11"/>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2NGQ5ZjE3Y2ZhZTFjODU1MjIyN2ZiYmNmODNiNWUifQ=="/>
  </w:docVars>
  <w:rsids>
    <w:rsidRoot w:val="008D04EB"/>
    <w:rsid w:val="00013D0C"/>
    <w:rsid w:val="0002262D"/>
    <w:rsid w:val="000356F9"/>
    <w:rsid w:val="0003753F"/>
    <w:rsid w:val="0004240C"/>
    <w:rsid w:val="00045565"/>
    <w:rsid w:val="00050C4B"/>
    <w:rsid w:val="00053E3C"/>
    <w:rsid w:val="0006043B"/>
    <w:rsid w:val="000635DC"/>
    <w:rsid w:val="00071747"/>
    <w:rsid w:val="00073D83"/>
    <w:rsid w:val="00082BB1"/>
    <w:rsid w:val="00086E7B"/>
    <w:rsid w:val="00090EA1"/>
    <w:rsid w:val="00095C75"/>
    <w:rsid w:val="000B0E77"/>
    <w:rsid w:val="000C127B"/>
    <w:rsid w:val="000C181D"/>
    <w:rsid w:val="000F0E34"/>
    <w:rsid w:val="000F3E41"/>
    <w:rsid w:val="000F5BDD"/>
    <w:rsid w:val="001003DF"/>
    <w:rsid w:val="00106291"/>
    <w:rsid w:val="00110195"/>
    <w:rsid w:val="0012332D"/>
    <w:rsid w:val="00141784"/>
    <w:rsid w:val="001432DC"/>
    <w:rsid w:val="00144C82"/>
    <w:rsid w:val="00153D2E"/>
    <w:rsid w:val="001677A0"/>
    <w:rsid w:val="001730BA"/>
    <w:rsid w:val="001826EF"/>
    <w:rsid w:val="00182B38"/>
    <w:rsid w:val="0018486A"/>
    <w:rsid w:val="00185369"/>
    <w:rsid w:val="00185739"/>
    <w:rsid w:val="00190FA0"/>
    <w:rsid w:val="001B6C23"/>
    <w:rsid w:val="001C1313"/>
    <w:rsid w:val="001D2D31"/>
    <w:rsid w:val="001D5218"/>
    <w:rsid w:val="001F12A4"/>
    <w:rsid w:val="00201EC7"/>
    <w:rsid w:val="00220A26"/>
    <w:rsid w:val="002213C6"/>
    <w:rsid w:val="002221D4"/>
    <w:rsid w:val="00223D8F"/>
    <w:rsid w:val="00225CEA"/>
    <w:rsid w:val="0022601C"/>
    <w:rsid w:val="00250030"/>
    <w:rsid w:val="00250416"/>
    <w:rsid w:val="002521D0"/>
    <w:rsid w:val="00252294"/>
    <w:rsid w:val="002553E3"/>
    <w:rsid w:val="0027084B"/>
    <w:rsid w:val="00276B06"/>
    <w:rsid w:val="002A1952"/>
    <w:rsid w:val="002A76AA"/>
    <w:rsid w:val="002B4374"/>
    <w:rsid w:val="002D28F1"/>
    <w:rsid w:val="002D41C6"/>
    <w:rsid w:val="002F3BCC"/>
    <w:rsid w:val="003011E8"/>
    <w:rsid w:val="00315675"/>
    <w:rsid w:val="0031635D"/>
    <w:rsid w:val="0033119F"/>
    <w:rsid w:val="00344345"/>
    <w:rsid w:val="00354D72"/>
    <w:rsid w:val="00365540"/>
    <w:rsid w:val="00371EC0"/>
    <w:rsid w:val="0037324A"/>
    <w:rsid w:val="00386323"/>
    <w:rsid w:val="00386AFD"/>
    <w:rsid w:val="00397229"/>
    <w:rsid w:val="003A03A0"/>
    <w:rsid w:val="003A1AC6"/>
    <w:rsid w:val="003B6708"/>
    <w:rsid w:val="003C0599"/>
    <w:rsid w:val="003C57C1"/>
    <w:rsid w:val="003E669A"/>
    <w:rsid w:val="003F3175"/>
    <w:rsid w:val="003F520C"/>
    <w:rsid w:val="00404680"/>
    <w:rsid w:val="00411861"/>
    <w:rsid w:val="004317F5"/>
    <w:rsid w:val="00450A21"/>
    <w:rsid w:val="00491038"/>
    <w:rsid w:val="004A2319"/>
    <w:rsid w:val="004A278D"/>
    <w:rsid w:val="004A3338"/>
    <w:rsid w:val="004B4168"/>
    <w:rsid w:val="004B4775"/>
    <w:rsid w:val="004C1324"/>
    <w:rsid w:val="004C3524"/>
    <w:rsid w:val="004C649C"/>
    <w:rsid w:val="004C7ED6"/>
    <w:rsid w:val="004D40AE"/>
    <w:rsid w:val="00511575"/>
    <w:rsid w:val="005117AC"/>
    <w:rsid w:val="00527092"/>
    <w:rsid w:val="00535F5C"/>
    <w:rsid w:val="00542EA8"/>
    <w:rsid w:val="005B3243"/>
    <w:rsid w:val="005B7DE6"/>
    <w:rsid w:val="005C3213"/>
    <w:rsid w:val="005C7A0A"/>
    <w:rsid w:val="005D26B6"/>
    <w:rsid w:val="005E5304"/>
    <w:rsid w:val="005F2C0C"/>
    <w:rsid w:val="00600111"/>
    <w:rsid w:val="006010C2"/>
    <w:rsid w:val="00616A7D"/>
    <w:rsid w:val="00626716"/>
    <w:rsid w:val="0063480F"/>
    <w:rsid w:val="006449C2"/>
    <w:rsid w:val="00665243"/>
    <w:rsid w:val="00665579"/>
    <w:rsid w:val="00682343"/>
    <w:rsid w:val="00687752"/>
    <w:rsid w:val="00687AB0"/>
    <w:rsid w:val="006C5C89"/>
    <w:rsid w:val="006E5E18"/>
    <w:rsid w:val="006F4B8A"/>
    <w:rsid w:val="006F7A77"/>
    <w:rsid w:val="0070498F"/>
    <w:rsid w:val="00707494"/>
    <w:rsid w:val="00715F0C"/>
    <w:rsid w:val="007175D3"/>
    <w:rsid w:val="00725DA8"/>
    <w:rsid w:val="00737F75"/>
    <w:rsid w:val="007512CE"/>
    <w:rsid w:val="00784C1F"/>
    <w:rsid w:val="007A0F44"/>
    <w:rsid w:val="007B7276"/>
    <w:rsid w:val="007D2052"/>
    <w:rsid w:val="007D3C9E"/>
    <w:rsid w:val="007E570D"/>
    <w:rsid w:val="007F00AB"/>
    <w:rsid w:val="007F6786"/>
    <w:rsid w:val="00830549"/>
    <w:rsid w:val="00836AC1"/>
    <w:rsid w:val="008445FE"/>
    <w:rsid w:val="00846654"/>
    <w:rsid w:val="008654A8"/>
    <w:rsid w:val="0087408B"/>
    <w:rsid w:val="008808CB"/>
    <w:rsid w:val="0089612A"/>
    <w:rsid w:val="008A77F8"/>
    <w:rsid w:val="008B29EA"/>
    <w:rsid w:val="008B3F03"/>
    <w:rsid w:val="008B60A6"/>
    <w:rsid w:val="008B6206"/>
    <w:rsid w:val="008C70A7"/>
    <w:rsid w:val="008D04EB"/>
    <w:rsid w:val="008E4FFB"/>
    <w:rsid w:val="008F23BE"/>
    <w:rsid w:val="008F2CD5"/>
    <w:rsid w:val="008F32E3"/>
    <w:rsid w:val="00900667"/>
    <w:rsid w:val="0090124D"/>
    <w:rsid w:val="00905D13"/>
    <w:rsid w:val="00907E99"/>
    <w:rsid w:val="00913B86"/>
    <w:rsid w:val="00947C69"/>
    <w:rsid w:val="00957FAC"/>
    <w:rsid w:val="00964C58"/>
    <w:rsid w:val="009678CC"/>
    <w:rsid w:val="00970B16"/>
    <w:rsid w:val="009807D0"/>
    <w:rsid w:val="009911F6"/>
    <w:rsid w:val="009C4E8A"/>
    <w:rsid w:val="009C7E96"/>
    <w:rsid w:val="009D5900"/>
    <w:rsid w:val="009F0E5D"/>
    <w:rsid w:val="009F7F34"/>
    <w:rsid w:val="00A024B9"/>
    <w:rsid w:val="00A31799"/>
    <w:rsid w:val="00A37DE0"/>
    <w:rsid w:val="00A514FA"/>
    <w:rsid w:val="00A807EE"/>
    <w:rsid w:val="00A822EE"/>
    <w:rsid w:val="00A9383F"/>
    <w:rsid w:val="00A95297"/>
    <w:rsid w:val="00A9542A"/>
    <w:rsid w:val="00AF0162"/>
    <w:rsid w:val="00AF2B9C"/>
    <w:rsid w:val="00AF5720"/>
    <w:rsid w:val="00B14DE7"/>
    <w:rsid w:val="00B21C64"/>
    <w:rsid w:val="00B24364"/>
    <w:rsid w:val="00B26CBF"/>
    <w:rsid w:val="00B30AF9"/>
    <w:rsid w:val="00B4302F"/>
    <w:rsid w:val="00B643AB"/>
    <w:rsid w:val="00B70BA3"/>
    <w:rsid w:val="00B74180"/>
    <w:rsid w:val="00B82155"/>
    <w:rsid w:val="00BA330F"/>
    <w:rsid w:val="00BA3A9E"/>
    <w:rsid w:val="00BA6916"/>
    <w:rsid w:val="00BB3EFD"/>
    <w:rsid w:val="00BB7383"/>
    <w:rsid w:val="00BC74C6"/>
    <w:rsid w:val="00BD1872"/>
    <w:rsid w:val="00BD3725"/>
    <w:rsid w:val="00BD7081"/>
    <w:rsid w:val="00BE3598"/>
    <w:rsid w:val="00BE6F3D"/>
    <w:rsid w:val="00BE7596"/>
    <w:rsid w:val="00C10B24"/>
    <w:rsid w:val="00C24B94"/>
    <w:rsid w:val="00C269C6"/>
    <w:rsid w:val="00C4279E"/>
    <w:rsid w:val="00C830AD"/>
    <w:rsid w:val="00CA1CCC"/>
    <w:rsid w:val="00CB3A35"/>
    <w:rsid w:val="00CB6D0B"/>
    <w:rsid w:val="00CC5BE2"/>
    <w:rsid w:val="00CF0139"/>
    <w:rsid w:val="00CF5572"/>
    <w:rsid w:val="00CF6CAF"/>
    <w:rsid w:val="00D04883"/>
    <w:rsid w:val="00D126B2"/>
    <w:rsid w:val="00D2690C"/>
    <w:rsid w:val="00D300EB"/>
    <w:rsid w:val="00D436DC"/>
    <w:rsid w:val="00D663B3"/>
    <w:rsid w:val="00D81D7D"/>
    <w:rsid w:val="00D915AF"/>
    <w:rsid w:val="00D9330E"/>
    <w:rsid w:val="00DB0F47"/>
    <w:rsid w:val="00DB6689"/>
    <w:rsid w:val="00DD3CE7"/>
    <w:rsid w:val="00DE115E"/>
    <w:rsid w:val="00E037F6"/>
    <w:rsid w:val="00E2382B"/>
    <w:rsid w:val="00E32BC4"/>
    <w:rsid w:val="00E340F5"/>
    <w:rsid w:val="00E344C2"/>
    <w:rsid w:val="00E4237B"/>
    <w:rsid w:val="00E50E75"/>
    <w:rsid w:val="00E60E70"/>
    <w:rsid w:val="00E71926"/>
    <w:rsid w:val="00EA5ACF"/>
    <w:rsid w:val="00ED0922"/>
    <w:rsid w:val="00ED6034"/>
    <w:rsid w:val="00EE1F16"/>
    <w:rsid w:val="00EE6CD3"/>
    <w:rsid w:val="00F1051A"/>
    <w:rsid w:val="00F16BFA"/>
    <w:rsid w:val="00F2418A"/>
    <w:rsid w:val="00F2659A"/>
    <w:rsid w:val="00F3440C"/>
    <w:rsid w:val="00F42A32"/>
    <w:rsid w:val="00F56800"/>
    <w:rsid w:val="00F71778"/>
    <w:rsid w:val="00F76E89"/>
    <w:rsid w:val="00F86841"/>
    <w:rsid w:val="00FA4DDD"/>
    <w:rsid w:val="00FA62E9"/>
    <w:rsid w:val="00FB3DA5"/>
    <w:rsid w:val="00FE192B"/>
    <w:rsid w:val="00FF04D0"/>
    <w:rsid w:val="00FF25BE"/>
    <w:rsid w:val="00FF306E"/>
    <w:rsid w:val="00FF4007"/>
    <w:rsid w:val="00FF5687"/>
    <w:rsid w:val="03DD3C87"/>
    <w:rsid w:val="0981328D"/>
    <w:rsid w:val="09C27D01"/>
    <w:rsid w:val="19EB17B0"/>
    <w:rsid w:val="31A552C9"/>
    <w:rsid w:val="3971469F"/>
    <w:rsid w:val="4FB760C8"/>
    <w:rsid w:val="5EF20E3D"/>
    <w:rsid w:val="F7F78126"/>
    <w:rsid w:val="FB2F76C8"/>
    <w:rsid w:val="FECF3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4"/>
    <w:qFormat/>
    <w:uiPriority w:val="0"/>
    <w:pPr>
      <w:keepNext/>
      <w:keepLines/>
      <w:numPr>
        <w:ilvl w:val="0"/>
        <w:numId w:val="1"/>
      </w:numPr>
      <w:spacing w:before="120" w:after="120" w:line="578" w:lineRule="auto"/>
      <w:ind w:left="0" w:firstLine="0" w:firstLineChars="0"/>
      <w:jc w:val="center"/>
      <w:outlineLvl w:val="0"/>
    </w:pPr>
    <w:rPr>
      <w:b/>
      <w:bCs/>
      <w:kern w:val="44"/>
      <w:sz w:val="44"/>
      <w:szCs w:val="44"/>
    </w:rPr>
  </w:style>
  <w:style w:type="paragraph" w:styleId="4">
    <w:name w:val="heading 2"/>
    <w:basedOn w:val="1"/>
    <w:next w:val="1"/>
    <w:link w:val="35"/>
    <w:unhideWhenUsed/>
    <w:qFormat/>
    <w:uiPriority w:val="0"/>
    <w:pPr>
      <w:keepNext/>
      <w:keepLines/>
      <w:numPr>
        <w:ilvl w:val="1"/>
        <w:numId w:val="1"/>
      </w:numPr>
      <w:spacing w:before="260" w:after="260"/>
      <w:ind w:left="0" w:firstLine="0" w:firstLineChars="0"/>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0"/>
    <w:pPr>
      <w:keepNext/>
      <w:keepLines/>
      <w:numPr>
        <w:ilvl w:val="2"/>
        <w:numId w:val="1"/>
      </w:numPr>
      <w:spacing w:before="260" w:after="260"/>
      <w:ind w:firstLine="0" w:firstLineChars="0"/>
      <w:outlineLvl w:val="2"/>
    </w:pPr>
    <w:rPr>
      <w:b/>
      <w:bCs/>
      <w:sz w:val="32"/>
      <w:szCs w:val="32"/>
    </w:rPr>
  </w:style>
  <w:style w:type="paragraph" w:styleId="6">
    <w:name w:val="heading 4"/>
    <w:basedOn w:val="1"/>
    <w:next w:val="1"/>
    <w:link w:val="37"/>
    <w:unhideWhenUsed/>
    <w:qFormat/>
    <w:uiPriority w:val="0"/>
    <w:pPr>
      <w:keepNext/>
      <w:keepLines/>
      <w:numPr>
        <w:ilvl w:val="3"/>
        <w:numId w:val="1"/>
      </w:numPr>
      <w:spacing w:before="280" w:after="290"/>
      <w:ind w:left="0" w:firstLine="0" w:firstLineChars="0"/>
      <w:outlineLvl w:val="3"/>
    </w:pPr>
    <w:rPr>
      <w:rFonts w:asciiTheme="majorHAnsi" w:hAnsiTheme="majorHAnsi" w:eastAsiaTheme="majorEastAsia" w:cstheme="majorBidi"/>
      <w:b/>
      <w:bCs/>
      <w:sz w:val="28"/>
      <w:szCs w:val="28"/>
    </w:rPr>
  </w:style>
  <w:style w:type="paragraph" w:styleId="7">
    <w:name w:val="heading 5"/>
    <w:basedOn w:val="1"/>
    <w:next w:val="1"/>
    <w:link w:val="38"/>
    <w:unhideWhenUsed/>
    <w:qFormat/>
    <w:uiPriority w:val="0"/>
    <w:pPr>
      <w:keepNext/>
      <w:keepLines/>
      <w:numPr>
        <w:ilvl w:val="4"/>
        <w:numId w:val="1"/>
      </w:numPr>
      <w:spacing w:before="280" w:after="290"/>
      <w:ind w:left="0" w:firstLine="0" w:firstLineChars="0"/>
      <w:outlineLvl w:val="4"/>
    </w:pPr>
    <w:rPr>
      <w:b/>
      <w:bCs/>
      <w:sz w:val="28"/>
      <w:szCs w:val="28"/>
    </w:rPr>
  </w:style>
  <w:style w:type="paragraph" w:styleId="8">
    <w:name w:val="heading 6"/>
    <w:basedOn w:val="1"/>
    <w:next w:val="1"/>
    <w:link w:val="39"/>
    <w:unhideWhenUsed/>
    <w:qFormat/>
    <w:uiPriority w:val="0"/>
    <w:pPr>
      <w:keepNext/>
      <w:keepLines/>
      <w:numPr>
        <w:ilvl w:val="5"/>
        <w:numId w:val="1"/>
      </w:numPr>
      <w:spacing w:before="240" w:after="64"/>
      <w:ind w:left="1134" w:firstLine="0" w:firstLineChars="0"/>
      <w:outlineLvl w:val="5"/>
    </w:pPr>
    <w:rPr>
      <w:rFonts w:asciiTheme="majorHAnsi" w:hAnsiTheme="majorHAnsi" w:eastAsiaTheme="majorEastAsia" w:cstheme="majorBidi"/>
      <w:b/>
      <w:bCs/>
      <w:sz w:val="24"/>
      <w:szCs w:val="24"/>
    </w:rPr>
  </w:style>
  <w:style w:type="paragraph" w:styleId="9">
    <w:name w:val="heading 7"/>
    <w:basedOn w:val="1"/>
    <w:next w:val="1"/>
    <w:link w:val="40"/>
    <w:unhideWhenUsed/>
    <w:qFormat/>
    <w:uiPriority w:val="0"/>
    <w:pPr>
      <w:keepNext/>
      <w:keepLines/>
      <w:numPr>
        <w:ilvl w:val="6"/>
        <w:numId w:val="1"/>
      </w:numPr>
      <w:spacing w:before="240" w:after="64"/>
      <w:ind w:left="0" w:firstLine="0" w:firstLineChars="0"/>
      <w:outlineLvl w:val="6"/>
    </w:pPr>
    <w:rPr>
      <w:b/>
      <w:bCs/>
      <w:sz w:val="24"/>
      <w:szCs w:val="24"/>
    </w:rPr>
  </w:style>
  <w:style w:type="paragraph" w:styleId="10">
    <w:name w:val="heading 8"/>
    <w:basedOn w:val="1"/>
    <w:next w:val="1"/>
    <w:link w:val="41"/>
    <w:unhideWhenUsed/>
    <w:qFormat/>
    <w:uiPriority w:val="9"/>
    <w:pPr>
      <w:keepNext/>
      <w:keepLines/>
      <w:numPr>
        <w:ilvl w:val="7"/>
        <w:numId w:val="1"/>
      </w:numPr>
      <w:spacing w:before="240" w:after="64"/>
      <w:ind w:left="0" w:firstLine="0" w:firstLineChars="0"/>
      <w:outlineLvl w:val="7"/>
    </w:pPr>
    <w:rPr>
      <w:rFonts w:asciiTheme="majorHAnsi" w:hAnsiTheme="majorHAnsi" w:eastAsiaTheme="majorEastAsia" w:cstheme="majorBidi"/>
      <w:sz w:val="24"/>
      <w:szCs w:val="24"/>
    </w:rPr>
  </w:style>
  <w:style w:type="paragraph" w:styleId="11">
    <w:name w:val="heading 9"/>
    <w:basedOn w:val="1"/>
    <w:next w:val="1"/>
    <w:link w:val="42"/>
    <w:unhideWhenUsed/>
    <w:qFormat/>
    <w:uiPriority w:val="9"/>
    <w:pPr>
      <w:keepNext/>
      <w:keepLines/>
      <w:numPr>
        <w:ilvl w:val="8"/>
        <w:numId w:val="1"/>
      </w:numPr>
      <w:spacing w:before="240" w:after="64"/>
      <w:ind w:left="0" w:firstLine="0" w:firstLineChars="0"/>
      <w:outlineLvl w:val="8"/>
    </w:pPr>
    <w:rPr>
      <w:rFonts w:asciiTheme="majorHAnsi" w:hAnsiTheme="majorHAnsi" w:eastAsiaTheme="majorEastAsia" w:cstheme="majorBidi"/>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99"/>
    <w:pPr>
      <w:overflowPunct w:val="0"/>
      <w:autoSpaceDE w:val="0"/>
      <w:autoSpaceDN w:val="0"/>
      <w:adjustRightInd w:val="0"/>
      <w:textAlignment w:val="baseline"/>
    </w:pPr>
    <w:rPr>
      <w:kern w:val="28"/>
    </w:rPr>
  </w:style>
  <w:style w:type="paragraph" w:styleId="12">
    <w:name w:val="toc 7"/>
    <w:basedOn w:val="1"/>
    <w:next w:val="1"/>
    <w:unhideWhenUsed/>
    <w:qFormat/>
    <w:uiPriority w:val="39"/>
    <w:pPr>
      <w:ind w:left="1260"/>
      <w:jc w:val="left"/>
    </w:pPr>
    <w:rPr>
      <w:sz w:val="18"/>
      <w:szCs w:val="18"/>
    </w:rPr>
  </w:style>
  <w:style w:type="paragraph" w:styleId="13">
    <w:name w:val="Normal Indent"/>
    <w:basedOn w:val="1"/>
    <w:link w:val="61"/>
    <w:semiHidden/>
    <w:unhideWhenUsed/>
    <w:qFormat/>
    <w:uiPriority w:val="0"/>
    <w:pPr>
      <w:autoSpaceDE w:val="0"/>
      <w:autoSpaceDN w:val="0"/>
      <w:ind w:left="181" w:firstLine="420"/>
      <w:jc w:val="left"/>
    </w:pPr>
    <w:rPr>
      <w:rFonts w:ascii="Times New Roman" w:hAnsi="Times New Roman" w:eastAsia="宋体" w:cs="Times New Roman"/>
      <w:sz w:val="24"/>
      <w:szCs w:val="20"/>
      <w:lang w:val="zh-CN"/>
    </w:rPr>
  </w:style>
  <w:style w:type="paragraph" w:styleId="14">
    <w:name w:val="annotation text"/>
    <w:basedOn w:val="1"/>
    <w:link w:val="48"/>
    <w:unhideWhenUsed/>
    <w:qFormat/>
    <w:uiPriority w:val="99"/>
    <w:pPr>
      <w:jc w:val="left"/>
    </w:pPr>
  </w:style>
  <w:style w:type="paragraph" w:styleId="15">
    <w:name w:val="Body Text"/>
    <w:basedOn w:val="1"/>
    <w:link w:val="60"/>
    <w:qFormat/>
    <w:uiPriority w:val="99"/>
    <w:pPr>
      <w:spacing w:after="120"/>
    </w:pPr>
    <w:rPr>
      <w:rFonts w:ascii="Calibri" w:hAnsi="Calibri" w:eastAsia="宋体" w:cs="Times New Roman"/>
      <w:lang w:val="zh-CN"/>
    </w:rPr>
  </w:style>
  <w:style w:type="paragraph" w:styleId="16">
    <w:name w:val="toc 5"/>
    <w:basedOn w:val="1"/>
    <w:next w:val="1"/>
    <w:unhideWhenUsed/>
    <w:qFormat/>
    <w:uiPriority w:val="39"/>
    <w:pPr>
      <w:ind w:left="840"/>
      <w:jc w:val="left"/>
    </w:pPr>
    <w:rPr>
      <w:sz w:val="18"/>
      <w:szCs w:val="18"/>
    </w:rPr>
  </w:style>
  <w:style w:type="paragraph" w:styleId="17">
    <w:name w:val="toc 3"/>
    <w:basedOn w:val="1"/>
    <w:next w:val="1"/>
    <w:unhideWhenUsed/>
    <w:qFormat/>
    <w:uiPriority w:val="39"/>
    <w:pPr>
      <w:ind w:left="420"/>
      <w:jc w:val="left"/>
    </w:pPr>
    <w:rPr>
      <w:i/>
      <w:iCs/>
      <w:sz w:val="20"/>
      <w:szCs w:val="20"/>
    </w:rPr>
  </w:style>
  <w:style w:type="paragraph" w:styleId="18">
    <w:name w:val="toc 8"/>
    <w:basedOn w:val="1"/>
    <w:next w:val="1"/>
    <w:unhideWhenUsed/>
    <w:qFormat/>
    <w:uiPriority w:val="39"/>
    <w:pPr>
      <w:ind w:left="1470"/>
      <w:jc w:val="left"/>
    </w:pPr>
    <w:rPr>
      <w:sz w:val="18"/>
      <w:szCs w:val="18"/>
    </w:rPr>
  </w:style>
  <w:style w:type="paragraph" w:styleId="19">
    <w:name w:val="Balloon Text"/>
    <w:basedOn w:val="1"/>
    <w:link w:val="50"/>
    <w:unhideWhenUsed/>
    <w:qFormat/>
    <w:uiPriority w:val="99"/>
    <w:rPr>
      <w:sz w:val="18"/>
      <w:szCs w:val="18"/>
    </w:rPr>
  </w:style>
  <w:style w:type="paragraph" w:styleId="20">
    <w:name w:val="footer"/>
    <w:basedOn w:val="1"/>
    <w:link w:val="45"/>
    <w:unhideWhenUsed/>
    <w:qFormat/>
    <w:uiPriority w:val="99"/>
    <w:pPr>
      <w:pBdr>
        <w:top w:val="single" w:color="auto" w:sz="4" w:space="1"/>
      </w:pBdr>
      <w:tabs>
        <w:tab w:val="center" w:pos="4153"/>
        <w:tab w:val="right" w:pos="8306"/>
      </w:tabs>
      <w:snapToGrid w:val="0"/>
      <w:jc w:val="left"/>
    </w:pPr>
    <w:rPr>
      <w:sz w:val="18"/>
      <w:szCs w:val="18"/>
    </w:rPr>
  </w:style>
  <w:style w:type="paragraph" w:styleId="21">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b/>
      <w:bCs/>
      <w:caps/>
      <w:sz w:val="20"/>
      <w:szCs w:val="20"/>
    </w:rPr>
  </w:style>
  <w:style w:type="paragraph" w:styleId="23">
    <w:name w:val="toc 4"/>
    <w:basedOn w:val="1"/>
    <w:next w:val="1"/>
    <w:unhideWhenUsed/>
    <w:qFormat/>
    <w:uiPriority w:val="39"/>
    <w:pPr>
      <w:ind w:left="630"/>
      <w:jc w:val="left"/>
    </w:pPr>
    <w:rPr>
      <w:sz w:val="18"/>
      <w:szCs w:val="18"/>
    </w:rPr>
  </w:style>
  <w:style w:type="paragraph" w:styleId="24">
    <w:name w:val="toc 6"/>
    <w:basedOn w:val="1"/>
    <w:next w:val="1"/>
    <w:unhideWhenUsed/>
    <w:qFormat/>
    <w:uiPriority w:val="39"/>
    <w:pPr>
      <w:ind w:left="1050"/>
      <w:jc w:val="left"/>
    </w:pPr>
    <w:rPr>
      <w:sz w:val="18"/>
      <w:szCs w:val="18"/>
    </w:rPr>
  </w:style>
  <w:style w:type="paragraph" w:styleId="25">
    <w:name w:val="toc 2"/>
    <w:basedOn w:val="1"/>
    <w:next w:val="1"/>
    <w:unhideWhenUsed/>
    <w:qFormat/>
    <w:uiPriority w:val="39"/>
    <w:pPr>
      <w:ind w:left="210"/>
      <w:jc w:val="left"/>
    </w:pPr>
    <w:rPr>
      <w:smallCaps/>
      <w:sz w:val="20"/>
      <w:szCs w:val="20"/>
    </w:rPr>
  </w:style>
  <w:style w:type="paragraph" w:styleId="26">
    <w:name w:val="toc 9"/>
    <w:basedOn w:val="1"/>
    <w:next w:val="1"/>
    <w:unhideWhenUsed/>
    <w:qFormat/>
    <w:uiPriority w:val="39"/>
    <w:pPr>
      <w:ind w:left="1680"/>
      <w:jc w:val="left"/>
    </w:pPr>
    <w:rPr>
      <w:sz w:val="18"/>
      <w:szCs w:val="18"/>
    </w:rPr>
  </w:style>
  <w:style w:type="paragraph" w:styleId="27">
    <w:name w:val="Title"/>
    <w:basedOn w:val="1"/>
    <w:next w:val="1"/>
    <w:link w:val="43"/>
    <w:qFormat/>
    <w:uiPriority w:val="10"/>
    <w:pPr>
      <w:spacing w:before="240" w:after="60"/>
      <w:jc w:val="center"/>
      <w:outlineLvl w:val="0"/>
    </w:pPr>
    <w:rPr>
      <w:rFonts w:eastAsia="宋体" w:asciiTheme="majorHAnsi" w:hAnsiTheme="majorHAnsi" w:cstheme="majorBidi"/>
      <w:b/>
      <w:bCs/>
      <w:sz w:val="32"/>
      <w:szCs w:val="32"/>
    </w:rPr>
  </w:style>
  <w:style w:type="paragraph" w:styleId="28">
    <w:name w:val="annotation subject"/>
    <w:basedOn w:val="14"/>
    <w:next w:val="14"/>
    <w:link w:val="49"/>
    <w:unhideWhenUsed/>
    <w:qFormat/>
    <w:uiPriority w:val="99"/>
    <w:rPr>
      <w:b/>
      <w:bCs/>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Hyperlink"/>
    <w:qFormat/>
    <w:uiPriority w:val="99"/>
    <w:rPr>
      <w:color w:val="0000FF"/>
      <w:sz w:val="21"/>
      <w:u w:val="single"/>
    </w:rPr>
  </w:style>
  <w:style w:type="character" w:styleId="33">
    <w:name w:val="annotation reference"/>
    <w:basedOn w:val="31"/>
    <w:unhideWhenUsed/>
    <w:qFormat/>
    <w:uiPriority w:val="0"/>
    <w:rPr>
      <w:sz w:val="21"/>
      <w:szCs w:val="21"/>
    </w:rPr>
  </w:style>
  <w:style w:type="character" w:customStyle="1" w:styleId="34">
    <w:name w:val="标题 1 Char"/>
    <w:basedOn w:val="31"/>
    <w:link w:val="3"/>
    <w:qFormat/>
    <w:uiPriority w:val="9"/>
    <w:rPr>
      <w:b/>
      <w:bCs/>
      <w:kern w:val="44"/>
      <w:sz w:val="44"/>
      <w:szCs w:val="44"/>
    </w:rPr>
  </w:style>
  <w:style w:type="character" w:customStyle="1" w:styleId="35">
    <w:name w:val="标题 2 Char"/>
    <w:basedOn w:val="31"/>
    <w:link w:val="4"/>
    <w:qFormat/>
    <w:uiPriority w:val="9"/>
    <w:rPr>
      <w:rFonts w:asciiTheme="majorHAnsi" w:hAnsiTheme="majorHAnsi" w:eastAsiaTheme="majorEastAsia" w:cstheme="majorBidi"/>
      <w:b/>
      <w:bCs/>
      <w:sz w:val="32"/>
      <w:szCs w:val="32"/>
    </w:rPr>
  </w:style>
  <w:style w:type="character" w:customStyle="1" w:styleId="36">
    <w:name w:val="标题 3 Char"/>
    <w:basedOn w:val="31"/>
    <w:link w:val="5"/>
    <w:qFormat/>
    <w:uiPriority w:val="9"/>
    <w:rPr>
      <w:b/>
      <w:bCs/>
      <w:sz w:val="32"/>
      <w:szCs w:val="32"/>
    </w:rPr>
  </w:style>
  <w:style w:type="character" w:customStyle="1" w:styleId="37">
    <w:name w:val="标题 4 Char"/>
    <w:basedOn w:val="31"/>
    <w:link w:val="6"/>
    <w:qFormat/>
    <w:uiPriority w:val="0"/>
    <w:rPr>
      <w:rFonts w:asciiTheme="majorHAnsi" w:hAnsiTheme="majorHAnsi" w:eastAsiaTheme="majorEastAsia" w:cstheme="majorBidi"/>
      <w:b/>
      <w:bCs/>
      <w:sz w:val="28"/>
      <w:szCs w:val="28"/>
    </w:rPr>
  </w:style>
  <w:style w:type="character" w:customStyle="1" w:styleId="38">
    <w:name w:val="标题 5 Char"/>
    <w:basedOn w:val="31"/>
    <w:link w:val="7"/>
    <w:qFormat/>
    <w:uiPriority w:val="0"/>
    <w:rPr>
      <w:b/>
      <w:bCs/>
      <w:sz w:val="28"/>
      <w:szCs w:val="28"/>
    </w:rPr>
  </w:style>
  <w:style w:type="character" w:customStyle="1" w:styleId="39">
    <w:name w:val="标题 6 Char"/>
    <w:basedOn w:val="31"/>
    <w:link w:val="8"/>
    <w:qFormat/>
    <w:uiPriority w:val="0"/>
    <w:rPr>
      <w:rFonts w:asciiTheme="majorHAnsi" w:hAnsiTheme="majorHAnsi" w:eastAsiaTheme="majorEastAsia" w:cstheme="majorBidi"/>
      <w:b/>
      <w:bCs/>
      <w:sz w:val="24"/>
      <w:szCs w:val="24"/>
    </w:rPr>
  </w:style>
  <w:style w:type="character" w:customStyle="1" w:styleId="40">
    <w:name w:val="标题 7 Char"/>
    <w:basedOn w:val="31"/>
    <w:link w:val="9"/>
    <w:qFormat/>
    <w:uiPriority w:val="9"/>
    <w:rPr>
      <w:b/>
      <w:bCs/>
      <w:sz w:val="24"/>
      <w:szCs w:val="24"/>
    </w:rPr>
  </w:style>
  <w:style w:type="character" w:customStyle="1" w:styleId="41">
    <w:name w:val="标题 8 Char"/>
    <w:basedOn w:val="31"/>
    <w:link w:val="10"/>
    <w:qFormat/>
    <w:uiPriority w:val="9"/>
    <w:rPr>
      <w:rFonts w:asciiTheme="majorHAnsi" w:hAnsiTheme="majorHAnsi" w:eastAsiaTheme="majorEastAsia" w:cstheme="majorBidi"/>
      <w:sz w:val="24"/>
      <w:szCs w:val="24"/>
    </w:rPr>
  </w:style>
  <w:style w:type="character" w:customStyle="1" w:styleId="42">
    <w:name w:val="标题 9 Char"/>
    <w:basedOn w:val="31"/>
    <w:link w:val="11"/>
    <w:qFormat/>
    <w:uiPriority w:val="9"/>
    <w:rPr>
      <w:rFonts w:asciiTheme="majorHAnsi" w:hAnsiTheme="majorHAnsi" w:eastAsiaTheme="majorEastAsia" w:cstheme="majorBidi"/>
      <w:szCs w:val="21"/>
    </w:rPr>
  </w:style>
  <w:style w:type="character" w:customStyle="1" w:styleId="43">
    <w:name w:val="标题 Char"/>
    <w:basedOn w:val="31"/>
    <w:link w:val="27"/>
    <w:qFormat/>
    <w:uiPriority w:val="10"/>
    <w:rPr>
      <w:rFonts w:eastAsia="宋体" w:asciiTheme="majorHAnsi" w:hAnsiTheme="majorHAnsi" w:cstheme="majorBidi"/>
      <w:b/>
      <w:bCs/>
      <w:sz w:val="32"/>
      <w:szCs w:val="32"/>
    </w:rPr>
  </w:style>
  <w:style w:type="character" w:customStyle="1" w:styleId="44">
    <w:name w:val="页眉 Char"/>
    <w:basedOn w:val="31"/>
    <w:link w:val="21"/>
    <w:qFormat/>
    <w:uiPriority w:val="99"/>
    <w:rPr>
      <w:sz w:val="18"/>
      <w:szCs w:val="18"/>
    </w:rPr>
  </w:style>
  <w:style w:type="character" w:customStyle="1" w:styleId="45">
    <w:name w:val="页脚 Char"/>
    <w:basedOn w:val="31"/>
    <w:link w:val="20"/>
    <w:qFormat/>
    <w:uiPriority w:val="99"/>
    <w:rPr>
      <w:sz w:val="18"/>
      <w:szCs w:val="18"/>
    </w:rPr>
  </w:style>
  <w:style w:type="character" w:customStyle="1" w:styleId="46">
    <w:name w:val="页眉 Char1"/>
    <w:qFormat/>
    <w:uiPriority w:val="99"/>
    <w:rPr>
      <w:kern w:val="2"/>
      <w:sz w:val="18"/>
      <w:szCs w:val="18"/>
      <w:lang w:val="zh-CN" w:eastAsia="zh-CN"/>
    </w:rPr>
  </w:style>
  <w:style w:type="paragraph" w:customStyle="1" w:styleId="47">
    <w:name w:val="TOC 标题1"/>
    <w:basedOn w:val="3"/>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48">
    <w:name w:val="批注文字 Char"/>
    <w:basedOn w:val="31"/>
    <w:link w:val="14"/>
    <w:qFormat/>
    <w:uiPriority w:val="99"/>
  </w:style>
  <w:style w:type="character" w:customStyle="1" w:styleId="49">
    <w:name w:val="批注主题 Char"/>
    <w:basedOn w:val="48"/>
    <w:link w:val="28"/>
    <w:semiHidden/>
    <w:qFormat/>
    <w:uiPriority w:val="99"/>
    <w:rPr>
      <w:b/>
      <w:bCs/>
    </w:rPr>
  </w:style>
  <w:style w:type="character" w:customStyle="1" w:styleId="50">
    <w:name w:val="批注框文本 Char"/>
    <w:basedOn w:val="31"/>
    <w:link w:val="19"/>
    <w:semiHidden/>
    <w:qFormat/>
    <w:uiPriority w:val="99"/>
    <w:rPr>
      <w:sz w:val="18"/>
      <w:szCs w:val="18"/>
    </w:rPr>
  </w:style>
  <w:style w:type="character" w:customStyle="1" w:styleId="51">
    <w:name w:val="未处理的提及1"/>
    <w:basedOn w:val="31"/>
    <w:unhideWhenUsed/>
    <w:qFormat/>
    <w:uiPriority w:val="99"/>
    <w:rPr>
      <w:color w:val="605E5C"/>
      <w:shd w:val="clear" w:color="auto" w:fill="E1DFDD"/>
    </w:rPr>
  </w:style>
  <w:style w:type="paragraph" w:customStyle="1" w:styleId="52">
    <w:name w:val="图片"/>
    <w:basedOn w:val="1"/>
    <w:link w:val="54"/>
    <w:qFormat/>
    <w:uiPriority w:val="0"/>
    <w:pPr>
      <w:ind w:firstLine="0" w:firstLineChars="0"/>
      <w:jc w:val="center"/>
    </w:pPr>
  </w:style>
  <w:style w:type="paragraph" w:customStyle="1" w:styleId="53">
    <w:name w:val="表格"/>
    <w:basedOn w:val="1"/>
    <w:link w:val="55"/>
    <w:qFormat/>
    <w:uiPriority w:val="0"/>
    <w:pPr>
      <w:spacing w:line="240" w:lineRule="auto"/>
      <w:ind w:firstLine="0" w:firstLineChars="0"/>
      <w:jc w:val="center"/>
    </w:pPr>
  </w:style>
  <w:style w:type="character" w:customStyle="1" w:styleId="54">
    <w:name w:val="图片 字符"/>
    <w:basedOn w:val="31"/>
    <w:link w:val="52"/>
    <w:qFormat/>
    <w:uiPriority w:val="0"/>
  </w:style>
  <w:style w:type="character" w:customStyle="1" w:styleId="55">
    <w:name w:val="表格 字符"/>
    <w:basedOn w:val="31"/>
    <w:link w:val="53"/>
    <w:qFormat/>
    <w:uiPriority w:val="0"/>
  </w:style>
  <w:style w:type="paragraph" w:customStyle="1" w:styleId="56">
    <w:name w:val="图"/>
    <w:basedOn w:val="1"/>
    <w:link w:val="57"/>
    <w:qFormat/>
    <w:uiPriority w:val="0"/>
    <w:pPr>
      <w:adjustRightInd w:val="0"/>
      <w:spacing w:line="240" w:lineRule="auto"/>
      <w:ind w:firstLine="0" w:firstLineChars="0"/>
      <w:jc w:val="center"/>
      <w:textAlignment w:val="center"/>
    </w:pPr>
    <w:rPr>
      <w:rFonts w:ascii="Times New Roman" w:hAnsi="Times New Roman" w:eastAsia="宋体" w:cs="Times New Roman"/>
      <w:b/>
      <w:snapToGrid w:val="0"/>
      <w:spacing w:val="20"/>
      <w:kern w:val="0"/>
      <w:szCs w:val="20"/>
      <w:lang w:val="zh-CN"/>
    </w:rPr>
  </w:style>
  <w:style w:type="character" w:customStyle="1" w:styleId="57">
    <w:name w:val="图 Char"/>
    <w:link w:val="56"/>
    <w:qFormat/>
    <w:uiPriority w:val="0"/>
    <w:rPr>
      <w:rFonts w:ascii="Times New Roman" w:hAnsi="Times New Roman" w:eastAsia="宋体" w:cs="Times New Roman"/>
      <w:b/>
      <w:snapToGrid w:val="0"/>
      <w:spacing w:val="20"/>
      <w:kern w:val="0"/>
      <w:szCs w:val="20"/>
      <w:lang w:val="zh-CN" w:eastAsia="zh-CN"/>
    </w:rPr>
  </w:style>
  <w:style w:type="character" w:customStyle="1" w:styleId="58">
    <w:name w:val="列表段落 字符"/>
    <w:link w:val="59"/>
    <w:qFormat/>
    <w:locked/>
    <w:uiPriority w:val="0"/>
    <w:rPr>
      <w:rFonts w:ascii="Calibri" w:hAnsi="Calibri" w:eastAsia="宋体" w:cs="Times New Roman"/>
      <w:lang w:val="zh-CN"/>
    </w:rPr>
  </w:style>
  <w:style w:type="paragraph" w:customStyle="1" w:styleId="59">
    <w:name w:val="列表段落1"/>
    <w:basedOn w:val="1"/>
    <w:link w:val="58"/>
    <w:qFormat/>
    <w:uiPriority w:val="0"/>
    <w:pPr>
      <w:ind w:firstLine="420"/>
    </w:pPr>
    <w:rPr>
      <w:rFonts w:ascii="Calibri" w:hAnsi="Calibri" w:eastAsia="宋体" w:cs="Times New Roman"/>
      <w:lang w:val="zh-CN"/>
    </w:rPr>
  </w:style>
  <w:style w:type="character" w:customStyle="1" w:styleId="60">
    <w:name w:val="正文文本 Char"/>
    <w:basedOn w:val="31"/>
    <w:link w:val="15"/>
    <w:qFormat/>
    <w:uiPriority w:val="99"/>
    <w:rPr>
      <w:rFonts w:ascii="Calibri" w:hAnsi="Calibri" w:eastAsia="宋体" w:cs="Times New Roman"/>
      <w:lang w:val="zh-CN" w:eastAsia="zh-CN"/>
    </w:rPr>
  </w:style>
  <w:style w:type="character" w:customStyle="1" w:styleId="61">
    <w:name w:val="正文缩进 Char"/>
    <w:link w:val="13"/>
    <w:semiHidden/>
    <w:qFormat/>
    <w:locked/>
    <w:uiPriority w:val="0"/>
    <w:rPr>
      <w:kern w:val="2"/>
      <w:sz w:val="24"/>
      <w:lang w:val="zh-CN"/>
    </w:rPr>
  </w:style>
  <w:style w:type="paragraph" w:customStyle="1" w:styleId="62">
    <w:name w:val="样式 0正文样式 + 黑色 首行缩进:  2 字符"/>
    <w:basedOn w:val="1"/>
    <w:qFormat/>
    <w:uiPriority w:val="0"/>
    <w:pPr>
      <w:widowControl/>
    </w:pPr>
    <w:rPr>
      <w:rFonts w:ascii="Times New Roman" w:hAnsi="Times New Roman" w:eastAsia="宋体" w:cs="宋体"/>
      <w:color w:val="000000"/>
      <w:sz w:val="24"/>
      <w:szCs w:val="20"/>
    </w:rPr>
  </w:style>
  <w:style w:type="character" w:customStyle="1" w:styleId="63">
    <w:name w:val="!正文 Char"/>
    <w:link w:val="64"/>
    <w:qFormat/>
    <w:uiPriority w:val="0"/>
    <w:rPr>
      <w:rFonts w:ascii="宋体" w:hAnsi="宋体" w:cs="宋体"/>
      <w:sz w:val="24"/>
      <w:szCs w:val="24"/>
    </w:rPr>
  </w:style>
  <w:style w:type="paragraph" w:customStyle="1" w:styleId="64">
    <w:name w:val="!正文"/>
    <w:basedOn w:val="1"/>
    <w:link w:val="63"/>
    <w:qFormat/>
    <w:uiPriority w:val="0"/>
    <w:pPr>
      <w:widowControl/>
      <w:ind w:firstLine="0" w:firstLineChars="0"/>
      <w:jc w:val="center"/>
    </w:pPr>
    <w:rPr>
      <w:rFonts w:ascii="宋体" w:hAnsi="宋体" w:eastAsia="宋体" w:cs="宋体"/>
      <w:kern w:val="0"/>
      <w:sz w:val="24"/>
      <w:szCs w:val="24"/>
    </w:rPr>
  </w:style>
  <w:style w:type="paragraph" w:customStyle="1" w:styleId="65">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66">
    <w:name w:val="表格内容"/>
    <w:basedOn w:val="1"/>
    <w:link w:val="67"/>
    <w:qFormat/>
    <w:uiPriority w:val="0"/>
    <w:pPr>
      <w:spacing w:line="240" w:lineRule="auto"/>
      <w:ind w:firstLine="0" w:firstLineChars="0"/>
      <w:jc w:val="center"/>
    </w:pPr>
    <w:rPr>
      <w:rFonts w:ascii="Calibri" w:hAnsi="Calibri" w:eastAsia="宋体" w:cs="Times New Roman"/>
      <w:lang w:val="zh-CN"/>
    </w:rPr>
  </w:style>
  <w:style w:type="character" w:customStyle="1" w:styleId="67">
    <w:name w:val="表格内容 Char"/>
    <w:basedOn w:val="31"/>
    <w:link w:val="66"/>
    <w:qFormat/>
    <w:uiPriority w:val="0"/>
    <w:rPr>
      <w:rFonts w:ascii="Calibri" w:hAnsi="Calibri"/>
      <w:kern w:val="2"/>
      <w:sz w:val="21"/>
      <w:szCs w:val="22"/>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LIANYI</Company>
  <Pages>8</Pages>
  <Words>7123</Words>
  <Characters>430</Characters>
  <Lines>3</Lines>
  <Paragraphs>15</Paragraphs>
  <TotalTime>10</TotalTime>
  <ScaleCrop>false</ScaleCrop>
  <LinksUpToDate>false</LinksUpToDate>
  <CharactersWithSpaces>7538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2023-10-23T07:53:00Z</dcterms:created>
  <dc:creator>ly</dc:creator>
  <cp:lastModifiedBy>杨杰涌</cp:lastModifiedBy>
  <cp:lastPrinted>2023-10-26T02:57:00Z</cp:lastPrinted>
  <dcterms:modified xsi:type="dcterms:W3CDTF">2023-10-27T07:54:19Z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9D0C6D4A4641414B9C561C67A8143ADC</vt:lpwstr>
  </property>
</Properties>
</file>