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BA8E4">
      <w:pPr>
        <w:pStyle w:val="4"/>
        <w:keepNext w:val="0"/>
        <w:keepLines w:val="0"/>
        <w:pageBreakBefore w:val="0"/>
        <w:widowControl w:val="0"/>
        <w:kinsoku/>
        <w:wordWrap/>
        <w:overflowPunct/>
        <w:topLinePunct w:val="0"/>
        <w:autoSpaceDE/>
        <w:autoSpaceDN/>
        <w:bidi w:val="0"/>
        <w:adjustRightInd/>
        <w:snapToGrid/>
        <w:spacing w:before="160" w:beforeLines="50" w:after="0" w:line="440" w:lineRule="exact"/>
        <w:textAlignment w:val="auto"/>
        <w:rPr>
          <w:rFonts w:hint="eastAsia" w:ascii="宋体" w:hAnsi="宋体" w:cs="宋体"/>
          <w:color w:val="auto"/>
          <w:sz w:val="28"/>
          <w:szCs w:val="28"/>
        </w:rPr>
      </w:pPr>
      <w:bookmarkStart w:id="0" w:name="_Toc9775"/>
      <w:bookmarkStart w:id="1" w:name="_Toc3834"/>
      <w:bookmarkStart w:id="2" w:name="_Toc25098"/>
      <w:r>
        <w:rPr>
          <w:rFonts w:hint="eastAsia" w:ascii="宋体" w:hAnsi="宋体" w:cs="宋体"/>
          <w:color w:val="auto"/>
          <w:sz w:val="28"/>
          <w:szCs w:val="28"/>
        </w:rPr>
        <w:t>汕头职业技术学院网络与信息安全突发事件应急预案</w:t>
      </w:r>
      <w:bookmarkEnd w:id="0"/>
      <w:bookmarkEnd w:id="1"/>
      <w:bookmarkEnd w:id="2"/>
    </w:p>
    <w:p w14:paraId="6D2F6F2C">
      <w:pPr>
        <w:pageBreakBefore w:val="0"/>
        <w:widowControl/>
        <w:tabs>
          <w:tab w:val="left" w:pos="709"/>
          <w:tab w:val="left" w:pos="1134"/>
        </w:tabs>
        <w:kinsoku/>
        <w:wordWrap/>
        <w:overflowPunct/>
        <w:topLinePunct w:val="0"/>
        <w:autoSpaceDE/>
        <w:autoSpaceDN/>
        <w:bidi w:val="0"/>
        <w:adjustRightInd/>
        <w:snapToGrid w:val="0"/>
        <w:spacing w:line="440" w:lineRule="exact"/>
        <w:jc w:val="center"/>
        <w:outlineLvl w:val="1"/>
        <w:rPr>
          <w:rFonts w:hint="eastAsia" w:ascii="宋体" w:hAnsi="宋体" w:cs="宋体"/>
          <w:color w:val="auto"/>
          <w:kern w:val="0"/>
          <w:sz w:val="24"/>
          <w:lang w:eastAsia="zh-CN"/>
        </w:rPr>
      </w:pPr>
      <w:r>
        <w:rPr>
          <w:rFonts w:hint="eastAsia" w:ascii="宋体" w:hAnsi="宋体" w:cs="宋体"/>
          <w:color w:val="auto"/>
          <w:kern w:val="0"/>
          <w:sz w:val="24"/>
          <w:lang w:eastAsia="zh-CN"/>
        </w:rPr>
        <w:t>（汕职院发〔2012〕24号）</w:t>
      </w:r>
    </w:p>
    <w:p w14:paraId="0CC9F864">
      <w:pPr>
        <w:pStyle w:val="2"/>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eastAsia="宋体" w:cs="宋体"/>
          <w:color w:val="auto"/>
          <w:sz w:val="24"/>
        </w:rPr>
      </w:pPr>
      <w:bookmarkStart w:id="3" w:name="_Toc24254"/>
      <w:bookmarkStart w:id="4" w:name="_Toc7466"/>
      <w:r>
        <w:rPr>
          <w:rFonts w:hint="eastAsia" w:ascii="宋体" w:hAnsi="宋体" w:eastAsia="宋体" w:cs="宋体"/>
          <w:color w:val="auto"/>
          <w:sz w:val="24"/>
        </w:rPr>
        <w:t>第一章　总 则</w:t>
      </w:r>
      <w:bookmarkEnd w:id="3"/>
      <w:bookmarkEnd w:id="4"/>
    </w:p>
    <w:p w14:paraId="0EE2F28D">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第一条 </w:t>
      </w:r>
      <w:r>
        <w:rPr>
          <w:rFonts w:hint="eastAsia" w:ascii="宋体" w:hAnsi="宋体" w:cs="宋体"/>
          <w:color w:val="auto"/>
          <w:kern w:val="0"/>
          <w:sz w:val="24"/>
        </w:rPr>
        <w:t>为了有效预防、及时控制和最大限度地消除各类网络与信息安全事件的危害及影响，切实提高应急处理能力和水平，根据《信息安全事件管理指南》《信息安全事件分类分级指南》等规范，制定本应急预案。</w:t>
      </w:r>
    </w:p>
    <w:p w14:paraId="6395BC57">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第二条 </w:t>
      </w:r>
      <w:r>
        <w:rPr>
          <w:rFonts w:hint="eastAsia" w:ascii="宋体" w:hAnsi="宋体" w:cs="宋体"/>
          <w:color w:val="auto"/>
          <w:kern w:val="0"/>
          <w:sz w:val="24"/>
        </w:rPr>
        <w:t>本预案中网络与信息安全事件是指利用校园网发布不良信息，以及硬件、软件、数据因非法攻击或病毒入侵等安全原因，而遭到破坏、更改、泄露造成损失和不良影响的事件。</w:t>
      </w:r>
    </w:p>
    <w:p w14:paraId="2E824FBA">
      <w:pPr>
        <w:pStyle w:val="2"/>
        <w:pageBreakBefore w:val="0"/>
        <w:kinsoku/>
        <w:wordWrap/>
        <w:overflowPunct/>
        <w:topLinePunct w:val="0"/>
        <w:autoSpaceDE/>
        <w:autoSpaceDN/>
        <w:bidi w:val="0"/>
        <w:adjustRightInd/>
        <w:snapToGrid/>
        <w:spacing w:before="158" w:beforeLines="50" w:after="158" w:afterLines="50" w:line="440" w:lineRule="exact"/>
        <w:jc w:val="center"/>
        <w:outlineLvl w:val="1"/>
        <w:rPr>
          <w:rFonts w:ascii="宋体" w:hAnsi="宋体" w:eastAsia="宋体" w:cs="宋体"/>
          <w:color w:val="auto"/>
          <w:sz w:val="24"/>
        </w:rPr>
      </w:pPr>
      <w:bookmarkStart w:id="5" w:name="_Toc25376"/>
      <w:bookmarkStart w:id="6" w:name="_Toc5958"/>
      <w:r>
        <w:rPr>
          <w:rFonts w:hint="eastAsia" w:ascii="宋体" w:hAnsi="宋体" w:eastAsia="宋体" w:cs="宋体"/>
          <w:color w:val="auto"/>
          <w:sz w:val="24"/>
        </w:rPr>
        <w:t>第二章　组织机构与职责</w:t>
      </w:r>
      <w:bookmarkEnd w:id="5"/>
      <w:bookmarkEnd w:id="6"/>
    </w:p>
    <w:p w14:paraId="17B6F725">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第三条 </w:t>
      </w:r>
      <w:r>
        <w:rPr>
          <w:rFonts w:hint="eastAsia" w:ascii="宋体" w:hAnsi="宋体" w:cs="宋体"/>
          <w:color w:val="auto"/>
          <w:kern w:val="0"/>
          <w:sz w:val="24"/>
        </w:rPr>
        <w:t>学院成立网络安全与信息化工作领导小组，统一领导、统一指挥网络与信息安全突发事件的应急处置工作，协调解决应急处置工作中的重大问题。</w:t>
      </w:r>
    </w:p>
    <w:p w14:paraId="5DD18788">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第四条 </w:t>
      </w:r>
      <w:r>
        <w:rPr>
          <w:rFonts w:hint="eastAsia" w:ascii="宋体" w:hAnsi="宋体" w:cs="宋体"/>
          <w:color w:val="auto"/>
          <w:kern w:val="0"/>
          <w:sz w:val="24"/>
        </w:rPr>
        <w:t>网络与信息中心负责学院网络安全事件的应急技术处理，并负责与上级网络信息安全主管部门的联动。</w:t>
      </w:r>
    </w:p>
    <w:p w14:paraId="256FC74F">
      <w:pPr>
        <w:pStyle w:val="2"/>
        <w:pageBreakBefore w:val="0"/>
        <w:kinsoku/>
        <w:wordWrap/>
        <w:overflowPunct/>
        <w:topLinePunct w:val="0"/>
        <w:autoSpaceDE/>
        <w:autoSpaceDN/>
        <w:bidi w:val="0"/>
        <w:adjustRightInd/>
        <w:snapToGrid/>
        <w:spacing w:before="158" w:beforeLines="50" w:after="158" w:afterLines="50" w:line="440" w:lineRule="exact"/>
        <w:jc w:val="center"/>
        <w:outlineLvl w:val="1"/>
        <w:rPr>
          <w:rFonts w:ascii="宋体" w:hAnsi="宋体" w:eastAsia="宋体" w:cs="宋体"/>
          <w:color w:val="auto"/>
          <w:sz w:val="24"/>
        </w:rPr>
      </w:pPr>
      <w:bookmarkStart w:id="7" w:name="_Toc20411"/>
      <w:bookmarkStart w:id="8" w:name="_Toc607"/>
      <w:r>
        <w:rPr>
          <w:rFonts w:hint="eastAsia" w:ascii="宋体" w:hAnsi="宋体" w:eastAsia="宋体" w:cs="宋体"/>
          <w:color w:val="auto"/>
          <w:sz w:val="24"/>
        </w:rPr>
        <w:t>第三章 安全事件报告与处置流程</w:t>
      </w:r>
      <w:bookmarkEnd w:id="7"/>
      <w:bookmarkEnd w:id="8"/>
    </w:p>
    <w:p w14:paraId="7A09D6B9">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第五条 </w:t>
      </w:r>
      <w:r>
        <w:rPr>
          <w:rFonts w:hint="eastAsia" w:ascii="宋体" w:hAnsi="宋体" w:cs="宋体"/>
          <w:color w:val="auto"/>
          <w:kern w:val="0"/>
          <w:sz w:val="24"/>
        </w:rPr>
        <w:t xml:space="preserve">根据信息安全事件的分级考虑要素：系统的重要程度、系统损失和社会影响，将学院信息安全事件划分为三个级别：重大事件、较大事件和一般事件。    </w:t>
      </w:r>
    </w:p>
    <w:p w14:paraId="559197CF">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（一）重大事件（Ⅰ级）</w:t>
      </w:r>
    </w:p>
    <w:p w14:paraId="7CDB3412">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 xml:space="preserve">  会使重要系统遭受严重的系统损失，或产生较大的社会影响的信息安全事件。</w:t>
      </w:r>
    </w:p>
    <w:p w14:paraId="4D10BD23">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（二）较大事件（Ⅱ级）</w:t>
      </w:r>
    </w:p>
    <w:p w14:paraId="00EA508D">
      <w:pPr>
        <w:pStyle w:val="3"/>
        <w:pageBreakBefore w:val="0"/>
        <w:kinsoku/>
        <w:wordWrap/>
        <w:overflowPunct/>
        <w:topLinePunct w:val="0"/>
        <w:autoSpaceDE/>
        <w:autoSpaceDN/>
        <w:bidi w:val="0"/>
        <w:adjustRightInd/>
        <w:spacing w:before="0" w:beforeAutospacing="0" w:after="0" w:afterAutospacing="0" w:line="440" w:lineRule="exact"/>
        <w:ind w:firstLine="480" w:firstLineChars="200"/>
        <w:outlineLvl w:val="1"/>
        <w:rPr>
          <w:color w:val="auto"/>
        </w:rPr>
      </w:pPr>
      <w:r>
        <w:rPr>
          <w:rFonts w:hint="eastAsia"/>
          <w:color w:val="auto"/>
        </w:rPr>
        <w:t>会使重要信息系统遭受较大的系统损失、一般系统遭受特别严重的系统损失，或产生较小不良社会影响的信息安全事件。</w:t>
      </w:r>
    </w:p>
    <w:p w14:paraId="7120BAF9">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（三）一般事件（Ⅲ级）</w:t>
      </w:r>
    </w:p>
    <w:p w14:paraId="08DB1907">
      <w:pPr>
        <w:pStyle w:val="3"/>
        <w:pageBreakBefore w:val="0"/>
        <w:kinsoku/>
        <w:wordWrap/>
        <w:overflowPunct/>
        <w:topLinePunct w:val="0"/>
        <w:autoSpaceDE/>
        <w:autoSpaceDN/>
        <w:bidi w:val="0"/>
        <w:adjustRightInd/>
        <w:spacing w:before="0" w:beforeAutospacing="0" w:after="0" w:afterAutospacing="0" w:line="440" w:lineRule="exact"/>
        <w:ind w:firstLine="480" w:firstLineChars="200"/>
        <w:outlineLvl w:val="1"/>
        <w:rPr>
          <w:color w:val="auto"/>
        </w:rPr>
      </w:pPr>
      <w:r>
        <w:rPr>
          <w:rFonts w:hint="eastAsia"/>
          <w:color w:val="auto"/>
        </w:rPr>
        <w:t>会使重要信息系统遭受较小的系统损失、一般系统遭受不严重的系统损失，或不产生社会影响的信息安全事件。</w:t>
      </w:r>
    </w:p>
    <w:p w14:paraId="51A58385">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第六条 </w:t>
      </w:r>
      <w:r>
        <w:rPr>
          <w:rFonts w:hint="eastAsia" w:ascii="宋体" w:hAnsi="宋体" w:cs="宋体"/>
          <w:color w:val="auto"/>
          <w:kern w:val="0"/>
          <w:sz w:val="24"/>
        </w:rPr>
        <w:t>事发紧急报告与处置</w:t>
      </w:r>
    </w:p>
    <w:p w14:paraId="67042D47">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 xml:space="preserve">（一）各部门人员一旦发现安全事件，应根据实际情况第一时间采取断开网络连接等有效措施进行处置，将损害和影响降到最小范围，保留现场，并报告本部门第一安全责任人，同时将相关情况通报至网络与信息中心。 </w:t>
      </w:r>
    </w:p>
    <w:p w14:paraId="4844AE7F">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二）网络与信息中心判定安全事件等级，Ⅱ级上报主管院领导，Ⅰ级报告上级网络信息安全主管部门，形成联动并启动应急处理机制，协助进行技术处理及取证工作。涉及人为主观破坏事件应同时报告当地公安机关。</w:t>
      </w:r>
    </w:p>
    <w:p w14:paraId="69FEA4DB">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第七条 </w:t>
      </w:r>
      <w:r>
        <w:rPr>
          <w:rFonts w:hint="eastAsia" w:ascii="宋体" w:hAnsi="宋体" w:cs="宋体"/>
          <w:color w:val="auto"/>
          <w:kern w:val="0"/>
          <w:sz w:val="24"/>
        </w:rPr>
        <w:t>事中情况报告与处置</w:t>
      </w:r>
    </w:p>
    <w:p w14:paraId="2E2799A9">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（一）事中情况报告应在安全事件发现后3小时内，事件发生部门以书面报告的形式报送网络与信息中心。</w:t>
      </w:r>
    </w:p>
    <w:p w14:paraId="13806DC4">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（二）网络与信息中心视安全事件的严重性，及时向主管院领导进行汇报，Ⅱ级及以上应以书面形式报告。同时报送学院网络安全与信息化工作领导小组。</w:t>
      </w:r>
    </w:p>
    <w:p w14:paraId="7A1707E7">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（三）网络与信息中心下达安全整改通知，事件发生部门应及时掌握损失情况、查找和分析事件原因、修复系统漏洞、恢复系统服务，尽可能减少安全事件对正常工作带来的影响。</w:t>
      </w:r>
    </w:p>
    <w:p w14:paraId="72311D7D">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第八条 </w:t>
      </w:r>
      <w:r>
        <w:rPr>
          <w:rFonts w:hint="eastAsia" w:ascii="宋体" w:hAnsi="宋体" w:cs="宋体"/>
          <w:color w:val="auto"/>
          <w:kern w:val="0"/>
          <w:sz w:val="24"/>
        </w:rPr>
        <w:t>事后整改报告与处置</w:t>
      </w:r>
    </w:p>
    <w:p w14:paraId="7F5F7EB3">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（一）事后整改报告应在安全事件处置完毕后3个工作日内，以书面报告的形式报送网络与信息中心。</w:t>
      </w:r>
    </w:p>
    <w:p w14:paraId="47F5F2AF">
      <w:pPr>
        <w:pStyle w:val="3"/>
        <w:pageBreakBefore w:val="0"/>
        <w:kinsoku/>
        <w:wordWrap/>
        <w:overflowPunct/>
        <w:topLinePunct w:val="0"/>
        <w:autoSpaceDE/>
        <w:autoSpaceDN/>
        <w:bidi w:val="0"/>
        <w:adjustRightInd/>
        <w:spacing w:before="0" w:beforeAutospacing="0" w:after="0" w:afterAutospacing="0" w:line="440" w:lineRule="exact"/>
        <w:ind w:firstLine="420"/>
        <w:outlineLvl w:val="1"/>
        <w:rPr>
          <w:color w:val="auto"/>
        </w:rPr>
      </w:pPr>
      <w:r>
        <w:rPr>
          <w:rFonts w:hint="eastAsia"/>
          <w:color w:val="auto"/>
        </w:rPr>
        <w:t>（二）如属Ⅱ级及以上事件网络与信息中心应以书面报告形式，将处理情况报送学院网络安全与信息化工作领导小组。</w:t>
      </w:r>
    </w:p>
    <w:p w14:paraId="03D0182E">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sz w:val="24"/>
        </w:rPr>
      </w:pPr>
      <w:r>
        <w:rPr>
          <w:rFonts w:hint="eastAsia" w:ascii="宋体" w:hAnsi="宋体" w:cs="宋体"/>
          <w:color w:val="auto"/>
          <w:sz w:val="24"/>
        </w:rPr>
        <w:t>（三）事件发生</w:t>
      </w:r>
      <w:r>
        <w:rPr>
          <w:rFonts w:hint="eastAsia" w:ascii="宋体" w:hAnsi="宋体" w:cs="宋体"/>
          <w:color w:val="auto"/>
          <w:kern w:val="0"/>
          <w:sz w:val="24"/>
        </w:rPr>
        <w:t>部门</w:t>
      </w:r>
      <w:r>
        <w:rPr>
          <w:rFonts w:hint="eastAsia" w:ascii="宋体" w:hAnsi="宋体" w:cs="宋体"/>
          <w:color w:val="auto"/>
          <w:sz w:val="24"/>
        </w:rPr>
        <w:t>应进一步总结事件教训，研判安全现状、排查安全隐患，进一步加强制度建设，提升安全防护能力。</w:t>
      </w:r>
    </w:p>
    <w:p w14:paraId="6AD60666">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sz w:val="24"/>
        </w:rPr>
      </w:pPr>
      <w:r>
        <w:rPr>
          <w:rFonts w:hint="eastAsia" w:ascii="宋体" w:hAnsi="宋体" w:cs="宋体"/>
          <w:color w:val="auto"/>
          <w:sz w:val="24"/>
        </w:rPr>
        <w:t>（四）</w:t>
      </w:r>
      <w:r>
        <w:rPr>
          <w:rFonts w:hint="eastAsia" w:ascii="宋体" w:hAnsi="宋体" w:cs="宋体"/>
          <w:color w:val="auto"/>
          <w:kern w:val="0"/>
          <w:sz w:val="24"/>
        </w:rPr>
        <w:t>网络与信息中心详细填写事件处理记录，并存档。</w:t>
      </w:r>
    </w:p>
    <w:p w14:paraId="4178D449">
      <w:pPr>
        <w:pStyle w:val="2"/>
        <w:pageBreakBefore w:val="0"/>
        <w:kinsoku/>
        <w:wordWrap/>
        <w:overflowPunct/>
        <w:topLinePunct w:val="0"/>
        <w:autoSpaceDE/>
        <w:autoSpaceDN/>
        <w:bidi w:val="0"/>
        <w:adjustRightInd/>
        <w:snapToGrid/>
        <w:spacing w:before="158" w:beforeLines="50" w:after="158" w:afterLines="50" w:line="440" w:lineRule="exact"/>
        <w:jc w:val="center"/>
        <w:outlineLvl w:val="1"/>
        <w:rPr>
          <w:rFonts w:ascii="宋体" w:hAnsi="宋体" w:eastAsia="宋体" w:cs="宋体"/>
          <w:color w:val="auto"/>
          <w:sz w:val="24"/>
        </w:rPr>
      </w:pPr>
      <w:bookmarkStart w:id="9" w:name="_Toc20706"/>
      <w:bookmarkStart w:id="10" w:name="_Toc7797"/>
      <w:r>
        <w:rPr>
          <w:rFonts w:hint="eastAsia" w:ascii="宋体" w:hAnsi="宋体" w:eastAsia="宋体" w:cs="宋体"/>
          <w:color w:val="auto"/>
          <w:sz w:val="24"/>
        </w:rPr>
        <w:t>第四章</w:t>
      </w:r>
      <w:r>
        <w:rPr>
          <w:rFonts w:hint="eastAsia" w:ascii="宋体" w:hAnsi="宋体" w:eastAsia="宋体" w:cs="宋体"/>
          <w:color w:val="auto"/>
          <w:sz w:val="24"/>
        </w:rPr>
        <w:tab/>
      </w:r>
      <w:r>
        <w:rPr>
          <w:rFonts w:hint="eastAsia" w:ascii="宋体" w:hAnsi="宋体" w:eastAsia="宋体" w:cs="宋体"/>
          <w:color w:val="auto"/>
          <w:sz w:val="24"/>
        </w:rPr>
        <w:t>应急响应程序</w:t>
      </w:r>
      <w:bookmarkEnd w:id="9"/>
      <w:bookmarkEnd w:id="10"/>
    </w:p>
    <w:p w14:paraId="1409899D">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第九条 </w:t>
      </w:r>
      <w:r>
        <w:rPr>
          <w:rFonts w:hint="eastAsia" w:ascii="宋体" w:hAnsi="宋体" w:cs="宋体"/>
          <w:color w:val="auto"/>
          <w:kern w:val="0"/>
          <w:sz w:val="24"/>
        </w:rPr>
        <w:t>系统故障应急预案</w:t>
      </w:r>
    </w:p>
    <w:p w14:paraId="7620CF12">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（一）当发生系统故障时，发现人应在5分钟内通知业务部门信息安全员，由信息安全员报告部门第一安全责任人及网络与信息中心。 </w:t>
      </w:r>
    </w:p>
    <w:p w14:paraId="0E48E3AD">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（二）网络与信息中心组织故障系统的信息安全员等相关部门和人员分析事件发生源头，查看安全审计日志，对异常事件发生源头、发生原因、影响范围做出判断，并及时控制事件范围，必要时停止系统运行。</w:t>
      </w:r>
    </w:p>
    <w:p w14:paraId="6F057930">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网络与信息中心</w:t>
      </w:r>
      <w:r>
        <w:rPr>
          <w:rFonts w:hint="eastAsia" w:ascii="宋体" w:hAnsi="宋体" w:cs="宋体"/>
          <w:color w:val="auto"/>
          <w:kern w:val="0"/>
          <w:sz w:val="24"/>
        </w:rPr>
        <w:t xml:space="preserve">针对事件原因查找系统漏洞，提出补救措施和系统安全策略调整方案，填写应急处置审批表，并报主管院领导审批。 </w:t>
      </w:r>
    </w:p>
    <w:p w14:paraId="036B25A0">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（四）根据系统安全策略调整方案，对安全设备、应用系统等的安全控制策略做出相应调整，解决系统故障，确认无误后恢复系统运行。 </w:t>
      </w:r>
    </w:p>
    <w:p w14:paraId="0FC0861F">
      <w:pPr>
        <w:pageBreakBefore w:val="0"/>
        <w:widowControl/>
        <w:tabs>
          <w:tab w:val="left" w:pos="709"/>
          <w:tab w:val="left" w:pos="1134"/>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第十条 </w:t>
      </w:r>
      <w:r>
        <w:rPr>
          <w:rFonts w:hint="eastAsia" w:ascii="宋体" w:hAnsi="宋体" w:cs="宋体"/>
          <w:color w:val="auto"/>
          <w:kern w:val="0"/>
          <w:sz w:val="24"/>
        </w:rPr>
        <w:t>网络攻击应急预案</w:t>
      </w:r>
    </w:p>
    <w:p w14:paraId="785CC3BE">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（一）网络与信息中心根据安全设备的报警和审计日志，确定攻击目标和攻击源； </w:t>
      </w:r>
    </w:p>
    <w:p w14:paraId="305C3D0A">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（二）通知被攻击系统管理员对攻击目标采取关闭或隔离措施，详细检查被攻击系统是否留有恶意代码，更改密码增强安全防范策略，必要时对系统和数据进行紧急备份；</w:t>
      </w:r>
    </w:p>
    <w:p w14:paraId="1A93C822">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（三）网络与信息中心对攻击来源进行隔离，分析原因，阻止攻击行为，调整安全防范策略； </w:t>
      </w:r>
    </w:p>
    <w:p w14:paraId="23C223B9">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（四）网络与信息中心在对被攻击系统进行安全评估后，恢复系统上线运行，对于恶意攻击上报公安部门。</w:t>
      </w:r>
    </w:p>
    <w:p w14:paraId="4790CDA3">
      <w:pPr>
        <w:pageBreakBefore w:val="0"/>
        <w:widowControl/>
        <w:tabs>
          <w:tab w:val="left" w:pos="709"/>
          <w:tab w:val="left" w:pos="1134"/>
          <w:tab w:val="left" w:pos="1418"/>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第十一条 </w:t>
      </w:r>
      <w:r>
        <w:rPr>
          <w:rFonts w:hint="eastAsia" w:ascii="宋体" w:hAnsi="宋体" w:cs="宋体"/>
          <w:color w:val="auto"/>
          <w:kern w:val="0"/>
          <w:sz w:val="24"/>
        </w:rPr>
        <w:t>病毒爆发应急预案：</w:t>
      </w:r>
    </w:p>
    <w:p w14:paraId="76322C69">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（一）网络与信息中心根据安全设备和网络杀毒软件的报警和日志，分析攻击来源，对攻击来源和攻击区域采取隔离措施。 </w:t>
      </w:r>
    </w:p>
    <w:p w14:paraId="23CC970D">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（二）对重要的网络服务器和业务系统紧急备份，防止因病毒造成数据丢失，必要时可暂停系统运行。 </w:t>
      </w:r>
    </w:p>
    <w:p w14:paraId="0B3948F3">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 xml:space="preserve">（三）及时通知安全厂商、防病毒厂商，上报病毒爆发情况并寻求技术支持。获得处理建议后及时控制病毒进一步传播、升级病毒库、清除病毒。 </w:t>
      </w:r>
    </w:p>
    <w:p w14:paraId="53064EFF">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（四）分析病毒产生原因，传播途径，采取补救措施，纠正违规行为。对恶意制造或传播病毒的情况上报有关部门。</w:t>
      </w:r>
    </w:p>
    <w:p w14:paraId="47F002C3">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（五）网络与信息中心、被感染系统管理员对系统进行安全评估后，确认病毒已得到控制或清除后，恢复系统运行。</w:t>
      </w:r>
    </w:p>
    <w:p w14:paraId="2CBD6710">
      <w:pPr>
        <w:pageBreakBefore w:val="0"/>
        <w:widowControl/>
        <w:tabs>
          <w:tab w:val="left" w:pos="709"/>
          <w:tab w:val="left" w:pos="1134"/>
          <w:tab w:val="left" w:pos="1418"/>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第十二条 </w:t>
      </w:r>
      <w:r>
        <w:rPr>
          <w:rFonts w:hint="eastAsia" w:ascii="宋体" w:hAnsi="宋体" w:cs="宋体"/>
          <w:color w:val="auto"/>
          <w:kern w:val="0"/>
          <w:sz w:val="24"/>
        </w:rPr>
        <w:t>网络设备及应用服务器异常应急预案</w:t>
      </w:r>
    </w:p>
    <w:p w14:paraId="082843FD">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（一）网络与信息中心对网络设备及应用服务器异常事件进行原因分析，及时发布信息对事件原因、处理措施及恢复时间进行通知公告。</w:t>
      </w:r>
    </w:p>
    <w:p w14:paraId="5C157978">
      <w:pPr>
        <w:pageBreakBefore w:val="0"/>
        <w:widowControl/>
        <w:kinsoku/>
        <w:wordWrap/>
        <w:overflowPunct/>
        <w:topLinePunct w:val="0"/>
        <w:autoSpaceDE/>
        <w:autoSpaceDN/>
        <w:bidi w:val="0"/>
        <w:adjustRightInd/>
        <w:snapToGrid w:val="0"/>
        <w:spacing w:line="440" w:lineRule="exact"/>
        <w:ind w:firstLine="420"/>
        <w:outlineLvl w:val="1"/>
        <w:rPr>
          <w:rFonts w:ascii="宋体" w:hAnsi="宋体" w:cs="宋体"/>
          <w:color w:val="auto"/>
          <w:kern w:val="0"/>
          <w:sz w:val="24"/>
        </w:rPr>
      </w:pPr>
      <w:r>
        <w:rPr>
          <w:rFonts w:hint="eastAsia" w:ascii="宋体" w:hAnsi="宋体" w:cs="宋体"/>
          <w:color w:val="auto"/>
          <w:kern w:val="0"/>
          <w:sz w:val="24"/>
        </w:rPr>
        <w:t>（二）如属于硬件故障应及时启用备用设备，并将故障设备报修；如属于软件故障，应根据故障程度进行紧急调试或启用最近一次备份进行数据恢复。</w:t>
      </w:r>
    </w:p>
    <w:p w14:paraId="7ADC7BA5">
      <w:pPr>
        <w:pStyle w:val="2"/>
        <w:pageBreakBefore w:val="0"/>
        <w:kinsoku/>
        <w:wordWrap/>
        <w:overflowPunct/>
        <w:topLinePunct w:val="0"/>
        <w:autoSpaceDE/>
        <w:autoSpaceDN/>
        <w:bidi w:val="0"/>
        <w:adjustRightInd/>
        <w:snapToGrid/>
        <w:spacing w:before="158" w:beforeLines="50" w:after="158" w:afterLines="50" w:line="440" w:lineRule="exact"/>
        <w:jc w:val="center"/>
        <w:outlineLvl w:val="1"/>
        <w:rPr>
          <w:rFonts w:ascii="宋体" w:hAnsi="宋体" w:eastAsia="宋体" w:cs="宋体"/>
          <w:color w:val="auto"/>
          <w:sz w:val="24"/>
        </w:rPr>
      </w:pPr>
      <w:bookmarkStart w:id="11" w:name="_Toc12602"/>
      <w:bookmarkStart w:id="12" w:name="_Toc8132"/>
      <w:r>
        <w:rPr>
          <w:rFonts w:hint="eastAsia" w:ascii="宋体" w:hAnsi="宋体" w:eastAsia="宋体" w:cs="宋体"/>
          <w:color w:val="auto"/>
          <w:sz w:val="24"/>
        </w:rPr>
        <w:t>第五章 应急预案管理</w:t>
      </w:r>
      <w:bookmarkEnd w:id="11"/>
      <w:bookmarkEnd w:id="12"/>
    </w:p>
    <w:p w14:paraId="2F621DF7">
      <w:pPr>
        <w:pageBreakBefore w:val="0"/>
        <w:widowControl/>
        <w:tabs>
          <w:tab w:val="left" w:pos="709"/>
          <w:tab w:val="left" w:pos="1134"/>
          <w:tab w:val="left" w:pos="1418"/>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第十三条 </w:t>
      </w:r>
      <w:r>
        <w:rPr>
          <w:rFonts w:hint="eastAsia" w:ascii="宋体" w:hAnsi="宋体" w:cs="宋体"/>
          <w:color w:val="auto"/>
          <w:kern w:val="0"/>
          <w:sz w:val="24"/>
        </w:rPr>
        <w:t>应急预案培训。为确保应急预案有效运行，网络与信息中心应定期或不定期地举办不同层次、不同类型的培训班或研讨会，以便各部门的相关人员都能掌握网络信息安全应急处理的知识和技能。</w:t>
      </w:r>
    </w:p>
    <w:p w14:paraId="71DDFA35">
      <w:pPr>
        <w:pageBreakBefore w:val="0"/>
        <w:widowControl/>
        <w:tabs>
          <w:tab w:val="left" w:pos="709"/>
          <w:tab w:val="left" w:pos="1134"/>
          <w:tab w:val="left" w:pos="1418"/>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第十四条 </w:t>
      </w:r>
      <w:r>
        <w:rPr>
          <w:rFonts w:hint="eastAsia" w:ascii="宋体" w:hAnsi="宋体" w:cs="宋体"/>
          <w:color w:val="auto"/>
          <w:kern w:val="0"/>
          <w:sz w:val="24"/>
        </w:rPr>
        <w:t>应急预案演练。为提高信息安全突发事件应急响应水平，网络与信息中心应每年至少组织一次预案演练；检验应急预案各环节之间的通信、协调、指挥等是否符合快速、高效的要求。通过演练，进一步明确应急响应各岗位责任，对预案中存在的问题和不足及时完善。</w:t>
      </w:r>
    </w:p>
    <w:p w14:paraId="65A8F6AD">
      <w:pPr>
        <w:pageBreakBefore w:val="0"/>
        <w:widowControl/>
        <w:tabs>
          <w:tab w:val="left" w:pos="709"/>
          <w:tab w:val="left" w:pos="1134"/>
          <w:tab w:val="left" w:pos="1418"/>
        </w:tabs>
        <w:kinsoku/>
        <w:wordWrap/>
        <w:overflowPunct/>
        <w:topLinePunct w:val="0"/>
        <w:autoSpaceDE/>
        <w:autoSpaceDN/>
        <w:bidi w:val="0"/>
        <w:adjustRightInd/>
        <w:snapToGrid w:val="0"/>
        <w:spacing w:line="440" w:lineRule="exact"/>
        <w:ind w:firstLine="482" w:firstLineChars="200"/>
        <w:outlineLvl w:val="1"/>
        <w:rPr>
          <w:rFonts w:ascii="宋体" w:hAnsi="宋体" w:cs="宋体"/>
          <w:color w:val="auto"/>
          <w:kern w:val="0"/>
          <w:sz w:val="24"/>
        </w:rPr>
      </w:pPr>
      <w:r>
        <w:rPr>
          <w:rFonts w:hint="eastAsia" w:ascii="宋体" w:hAnsi="宋体" w:cs="宋体"/>
          <w:b/>
          <w:color w:val="auto"/>
          <w:kern w:val="0"/>
          <w:sz w:val="24"/>
        </w:rPr>
        <w:t xml:space="preserve">第十五条 </w:t>
      </w:r>
      <w:r>
        <w:rPr>
          <w:rFonts w:hint="eastAsia" w:ascii="宋体" w:hAnsi="宋体" w:cs="宋体"/>
          <w:color w:val="auto"/>
          <w:kern w:val="0"/>
          <w:sz w:val="24"/>
        </w:rPr>
        <w:t>应急预案审查。网络与信息中心每年对应急预案进行一次审查，根据实际情况，如演练过程中出现的问题、已发生安全事件的处置措施等对内容进行更新，以使预案更贴合实际。</w:t>
      </w:r>
    </w:p>
    <w:p w14:paraId="18EA3050">
      <w:pPr>
        <w:pStyle w:val="2"/>
        <w:pageBreakBefore w:val="0"/>
        <w:kinsoku/>
        <w:wordWrap/>
        <w:overflowPunct/>
        <w:topLinePunct w:val="0"/>
        <w:autoSpaceDE/>
        <w:autoSpaceDN/>
        <w:bidi w:val="0"/>
        <w:adjustRightInd/>
        <w:snapToGrid/>
        <w:spacing w:before="158" w:beforeLines="50" w:after="158" w:afterLines="50" w:line="440" w:lineRule="exact"/>
        <w:jc w:val="center"/>
        <w:outlineLvl w:val="1"/>
        <w:rPr>
          <w:rFonts w:ascii="宋体" w:hAnsi="宋体" w:eastAsia="宋体" w:cs="宋体"/>
          <w:color w:val="auto"/>
          <w:sz w:val="24"/>
        </w:rPr>
      </w:pPr>
      <w:bookmarkStart w:id="13" w:name="_Toc4627"/>
      <w:bookmarkStart w:id="14" w:name="_Toc31418"/>
      <w:r>
        <w:rPr>
          <w:rFonts w:hint="eastAsia" w:ascii="宋体" w:hAnsi="宋体" w:eastAsia="宋体" w:cs="宋体"/>
          <w:color w:val="auto"/>
          <w:sz w:val="24"/>
        </w:rPr>
        <w:t>第六章　附 则</w:t>
      </w:r>
      <w:bookmarkEnd w:id="13"/>
      <w:bookmarkEnd w:id="14"/>
    </w:p>
    <w:p w14:paraId="34255AF2">
      <w:pPr>
        <w:pageBreakBefore w:val="0"/>
        <w:widowControl/>
        <w:kinsoku/>
        <w:wordWrap/>
        <w:overflowPunct/>
        <w:topLinePunct w:val="0"/>
        <w:autoSpaceDE/>
        <w:autoSpaceDN/>
        <w:bidi w:val="0"/>
        <w:adjustRightInd/>
        <w:snapToGrid w:val="0"/>
        <w:spacing w:line="440" w:lineRule="exact"/>
        <w:ind w:firstLine="420"/>
        <w:outlineLvl w:val="1"/>
        <w:rPr>
          <w:rFonts w:hint="eastAsia" w:ascii="宋体" w:hAnsi="宋体" w:cs="宋体"/>
          <w:color w:val="auto"/>
          <w:kern w:val="0"/>
          <w:sz w:val="24"/>
        </w:rPr>
      </w:pPr>
      <w:r>
        <w:rPr>
          <w:rFonts w:hint="eastAsia" w:ascii="宋体" w:hAnsi="宋体" w:cs="宋体"/>
          <w:b/>
          <w:bCs w:val="0"/>
          <w:color w:val="auto"/>
          <w:kern w:val="0"/>
          <w:sz w:val="24"/>
        </w:rPr>
        <w:t>第十六条</w:t>
      </w:r>
      <w:r>
        <w:rPr>
          <w:rFonts w:hint="eastAsia" w:ascii="宋体" w:hAnsi="宋体" w:cs="宋体"/>
          <w:color w:val="auto"/>
          <w:kern w:val="0"/>
          <w:sz w:val="24"/>
        </w:rPr>
        <w:t xml:space="preserve"> 本预案自发布之日起施行，由网络与信息中心负责解释。原网络与信息安全事件应急预案同时废止。</w:t>
      </w:r>
    </w:p>
    <w:p w14:paraId="01D6017A">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57611435"/>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7611435"/>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3" w:lineRule="auto"/>
      <w:outlineLvl w:val="1"/>
    </w:pPr>
    <w:rPr>
      <w:rFonts w:ascii="Arial" w:hAnsi="Arial" w:eastAsia="黑体"/>
      <w:b/>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4">
    <w:name w:val="Title"/>
    <w:basedOn w:val="1"/>
    <w:next w:val="1"/>
    <w:qFormat/>
    <w:uiPriority w:val="0"/>
    <w:pPr>
      <w:spacing w:before="240" w:after="60"/>
      <w:jc w:val="center"/>
      <w:outlineLvl w:val="0"/>
    </w:pPr>
    <w:rPr>
      <w:rFonts w:ascii="等线 Light" w:hAnsi="等线 Light"/>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2024-09-14T02:22:00Z</dcterms:created>
  <dc:creator>YB001</dc:creator>
  <cp:lastModifiedBy>YB001</cp:lastModifiedBy>
  <dcterms:modified xsi:type="dcterms:W3CDTF">2024-09-14T02:27:16Z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052C3D4D0078470C95C35A870551F462_11</vt:lpwstr>
  </property>
</Properties>
</file>